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3ABD9" w14:textId="77777777" w:rsidR="00D46C2D" w:rsidRPr="00D46C2D" w:rsidRDefault="00D46C2D" w:rsidP="00D46C2D">
      <w:pPr>
        <w:rPr>
          <w:b/>
          <w:bCs/>
          <w:lang w:val="ru-RU"/>
        </w:rPr>
      </w:pPr>
      <w:r w:rsidRPr="00D46C2D">
        <w:rPr>
          <w:b/>
          <w:bCs/>
          <w:lang w:val="ru-RU"/>
        </w:rPr>
        <w:t>Размещение материалов по докладу</w:t>
      </w:r>
    </w:p>
    <w:p w14:paraId="76FF3810" w14:textId="77777777" w:rsidR="00D46C2D" w:rsidRDefault="00D46C2D" w:rsidP="00D46C2D">
      <w:pPr>
        <w:rPr>
          <w:b/>
          <w:bCs/>
          <w:lang w:val="ru-RU"/>
        </w:rPr>
      </w:pPr>
    </w:p>
    <w:p w14:paraId="1A449042" w14:textId="435D916C" w:rsidR="00D46C2D" w:rsidRPr="00D46C2D" w:rsidRDefault="00D46C2D" w:rsidP="001C730C">
      <w:pPr>
        <w:rPr>
          <w:lang w:val="ru-RU"/>
        </w:rPr>
      </w:pPr>
      <w:r w:rsidRPr="00D46C2D">
        <w:rPr>
          <w:b/>
          <w:bCs/>
          <w:lang w:val="ru-RU"/>
        </w:rPr>
        <w:t>Название доклада:</w:t>
      </w:r>
      <w:r w:rsidRPr="00D46C2D">
        <w:rPr>
          <w:lang w:val="ru-RU"/>
        </w:rPr>
        <w:br/>
      </w:r>
      <w:r w:rsidR="00FA2967" w:rsidRPr="00FA2967">
        <w:rPr>
          <w:i/>
          <w:iCs/>
          <w:lang w:val="ru-RU"/>
        </w:rPr>
        <w:t>Макроэкономический прогноз 2026–2028</w:t>
      </w:r>
    </w:p>
    <w:p w14:paraId="57DE3B4E" w14:textId="77777777" w:rsidR="00D46C2D" w:rsidRDefault="00D46C2D" w:rsidP="00D46C2D">
      <w:pPr>
        <w:rPr>
          <w:b/>
          <w:bCs/>
          <w:lang w:val="ru-RU"/>
        </w:rPr>
      </w:pPr>
    </w:p>
    <w:p w14:paraId="535EE115" w14:textId="3816A5AA" w:rsidR="00D46C2D" w:rsidRPr="00D46C2D" w:rsidRDefault="00D46C2D" w:rsidP="00D46C2D">
      <w:pPr>
        <w:rPr>
          <w:b/>
          <w:bCs/>
          <w:lang w:val="ru-RU"/>
        </w:rPr>
      </w:pPr>
      <w:r w:rsidRPr="00D46C2D">
        <w:rPr>
          <w:b/>
          <w:bCs/>
          <w:lang w:val="ru-RU"/>
        </w:rPr>
        <w:t>1. Раздел сайта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2227"/>
        <w:gridCol w:w="3869"/>
        <w:gridCol w:w="1417"/>
        <w:gridCol w:w="1843"/>
      </w:tblGrid>
      <w:tr w:rsidR="008D0AAA" w:rsidRPr="008D0AAA" w14:paraId="303F6AAC" w14:textId="77777777" w:rsidTr="00036450">
        <w:trPr>
          <w:trHeight w:val="300"/>
        </w:trPr>
        <w:tc>
          <w:tcPr>
            <w:tcW w:w="2227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BDBDB"/>
            <w:vAlign w:val="center"/>
            <w:hideMark/>
          </w:tcPr>
          <w:p w14:paraId="4205D456" w14:textId="77777777" w:rsidR="008D0AAA" w:rsidRPr="008D0AAA" w:rsidRDefault="008D0AAA" w:rsidP="008D0AA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D0A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Раздел</w:t>
            </w:r>
            <w:proofErr w:type="spellEnd"/>
            <w:r w:rsidRPr="008D0A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0A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размещения</w:t>
            </w:r>
            <w:proofErr w:type="spellEnd"/>
          </w:p>
        </w:tc>
        <w:tc>
          <w:tcPr>
            <w:tcW w:w="3869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BDBDB"/>
            <w:vAlign w:val="center"/>
            <w:hideMark/>
          </w:tcPr>
          <w:p w14:paraId="74AFCD84" w14:textId="77777777" w:rsidR="008D0AAA" w:rsidRPr="008D0AAA" w:rsidRDefault="008D0AAA" w:rsidP="008D0AA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D0A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Ссылка</w:t>
            </w:r>
            <w:proofErr w:type="spellEnd"/>
          </w:p>
        </w:tc>
        <w:tc>
          <w:tcPr>
            <w:tcW w:w="1417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BDBDB"/>
            <w:vAlign w:val="center"/>
            <w:hideMark/>
          </w:tcPr>
          <w:p w14:paraId="176C3ED6" w14:textId="77777777" w:rsidR="008D0AAA" w:rsidRPr="008D0AAA" w:rsidRDefault="008D0AAA" w:rsidP="008D0AA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D0A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Фильтр</w:t>
            </w:r>
            <w:proofErr w:type="spellEnd"/>
            <w:r w:rsidRPr="008D0A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0A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по</w:t>
            </w:r>
            <w:proofErr w:type="spellEnd"/>
            <w:r w:rsidRPr="008D0A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0A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странам</w:t>
            </w:r>
            <w:proofErr w:type="spellEnd"/>
          </w:p>
        </w:tc>
        <w:tc>
          <w:tcPr>
            <w:tcW w:w="1843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BDBDB"/>
            <w:vAlign w:val="center"/>
            <w:hideMark/>
          </w:tcPr>
          <w:p w14:paraId="2EB35137" w14:textId="77777777" w:rsidR="008D0AAA" w:rsidRPr="008D0AAA" w:rsidRDefault="008D0AAA" w:rsidP="008D0AA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D0A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Фильтр</w:t>
            </w:r>
            <w:proofErr w:type="spellEnd"/>
            <w:r w:rsidRPr="008D0A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0A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по</w:t>
            </w:r>
            <w:proofErr w:type="spellEnd"/>
            <w:r w:rsidRPr="008D0A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0A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году</w:t>
            </w:r>
            <w:proofErr w:type="spellEnd"/>
          </w:p>
        </w:tc>
      </w:tr>
      <w:tr w:rsidR="00533E1A" w:rsidRPr="008D0AAA" w14:paraId="1309CCF2" w14:textId="77777777" w:rsidTr="00036450">
        <w:trPr>
          <w:trHeight w:val="510"/>
        </w:trPr>
        <w:tc>
          <w:tcPr>
            <w:tcW w:w="222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0BEC0B19" w14:textId="3C60DE18" w:rsidR="008D0AAA" w:rsidRPr="00230463" w:rsidRDefault="00230463" w:rsidP="008D0AA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230463">
              <w:rPr>
                <w:rFonts w:eastAsia="Times New Roman"/>
                <w:color w:val="000000"/>
                <w:sz w:val="20"/>
                <w:szCs w:val="20"/>
                <w:lang w:val="ru-RU"/>
              </w:rPr>
              <w:t>Макроэкономические прогнозы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797283E9" w14:textId="20E8977B" w:rsidR="008D0AAA" w:rsidRPr="00230463" w:rsidRDefault="00230463" w:rsidP="008D0AAA">
            <w:pPr>
              <w:rPr>
                <w:rFonts w:eastAsia="Times New Roman"/>
                <w:color w:val="0563C1"/>
                <w:sz w:val="20"/>
                <w:szCs w:val="20"/>
                <w:u w:val="single"/>
                <w:lang w:val="ru-RU"/>
              </w:rPr>
            </w:pPr>
            <w:hyperlink r:id="rId6" w:history="1">
              <w:r w:rsidRPr="0037458F">
                <w:rPr>
                  <w:rStyle w:val="a3"/>
                </w:rPr>
                <w:t>https</w:t>
              </w:r>
              <w:r w:rsidRPr="00230463">
                <w:rPr>
                  <w:rStyle w:val="a3"/>
                  <w:lang w:val="ru-RU"/>
                </w:rPr>
                <w:t>://</w:t>
              </w:r>
              <w:proofErr w:type="spellStart"/>
              <w:r w:rsidRPr="0037458F">
                <w:rPr>
                  <w:rStyle w:val="a3"/>
                </w:rPr>
                <w:t>eabr</w:t>
              </w:r>
              <w:proofErr w:type="spellEnd"/>
              <w:r w:rsidRPr="00230463">
                <w:rPr>
                  <w:rStyle w:val="a3"/>
                  <w:lang w:val="ru-RU"/>
                </w:rPr>
                <w:t>.</w:t>
              </w:r>
              <w:r w:rsidRPr="0037458F">
                <w:rPr>
                  <w:rStyle w:val="a3"/>
                </w:rPr>
                <w:t>org</w:t>
              </w:r>
              <w:r w:rsidRPr="00230463">
                <w:rPr>
                  <w:rStyle w:val="a3"/>
                  <w:lang w:val="ru-RU"/>
                </w:rPr>
                <w:t>/</w:t>
              </w:r>
              <w:r w:rsidRPr="0037458F">
                <w:rPr>
                  <w:rStyle w:val="a3"/>
                </w:rPr>
                <w:t>analytics</w:t>
              </w:r>
              <w:r w:rsidRPr="00230463">
                <w:rPr>
                  <w:rStyle w:val="a3"/>
                  <w:lang w:val="ru-RU"/>
                </w:rPr>
                <w:t>/</w:t>
              </w:r>
              <w:proofErr w:type="spellStart"/>
              <w:r w:rsidRPr="0037458F">
                <w:rPr>
                  <w:rStyle w:val="a3"/>
                </w:rPr>
                <w:t>ceg</w:t>
              </w:r>
              <w:proofErr w:type="spellEnd"/>
              <w:r w:rsidRPr="00230463">
                <w:rPr>
                  <w:rStyle w:val="a3"/>
                  <w:lang w:val="ru-RU"/>
                </w:rPr>
                <w:t>-</w:t>
              </w:r>
              <w:r w:rsidRPr="0037458F">
                <w:rPr>
                  <w:rStyle w:val="a3"/>
                </w:rPr>
                <w:t>quarterly</w:t>
              </w:r>
              <w:r w:rsidRPr="00230463">
                <w:rPr>
                  <w:rStyle w:val="a3"/>
                  <w:lang w:val="ru-RU"/>
                </w:rPr>
                <w:t>-</w:t>
              </w:r>
              <w:r w:rsidRPr="0037458F">
                <w:rPr>
                  <w:rStyle w:val="a3"/>
                </w:rPr>
                <w:t>reviews</w:t>
              </w:r>
              <w:r w:rsidRPr="00230463">
                <w:rPr>
                  <w:rStyle w:val="a3"/>
                  <w:lang w:val="ru-RU"/>
                </w:rPr>
                <w:t>/</w:t>
              </w:r>
            </w:hyperlink>
            <w:r w:rsidRPr="00230463">
              <w:rPr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393B8CF0" w14:textId="77777777" w:rsidR="008D0AAA" w:rsidRPr="008D0AAA" w:rsidRDefault="008D0AAA" w:rsidP="008D0AAA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D0AAA">
              <w:rPr>
                <w:rFonts w:eastAsia="Times New Roman"/>
                <w:color w:val="000000"/>
                <w:sz w:val="20"/>
                <w:szCs w:val="20"/>
              </w:rPr>
              <w:t>Все</w:t>
            </w:r>
            <w:proofErr w:type="spellEnd"/>
            <w:r w:rsidRPr="008D0AA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0AAA">
              <w:rPr>
                <w:rFonts w:eastAsia="Times New Roman"/>
                <w:color w:val="000000"/>
                <w:sz w:val="20"/>
                <w:szCs w:val="20"/>
              </w:rPr>
              <w:t>страны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3C9AA070" w14:textId="77777777" w:rsidR="008D0AAA" w:rsidRPr="008D0AAA" w:rsidRDefault="008D0AAA" w:rsidP="008D0AAA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8D0AAA">
              <w:rPr>
                <w:rFonts w:eastAsia="Times New Roman"/>
                <w:color w:val="000000"/>
                <w:sz w:val="20"/>
                <w:szCs w:val="20"/>
              </w:rPr>
              <w:t>2025</w:t>
            </w:r>
          </w:p>
        </w:tc>
      </w:tr>
    </w:tbl>
    <w:p w14:paraId="38BE9D3C" w14:textId="77777777" w:rsidR="008D0AAA" w:rsidRDefault="008D0AAA" w:rsidP="00D46C2D">
      <w:pPr>
        <w:rPr>
          <w:lang w:val="ru-RU"/>
        </w:rPr>
      </w:pPr>
    </w:p>
    <w:p w14:paraId="2813EA5B" w14:textId="75512904" w:rsidR="00D46C2D" w:rsidRPr="00FC20B0" w:rsidRDefault="00D46C2D" w:rsidP="00D46C2D">
      <w:pPr>
        <w:rPr>
          <w:b/>
          <w:bCs/>
          <w:lang w:val="ru-RU"/>
        </w:rPr>
      </w:pPr>
      <w:r w:rsidRPr="00D46C2D">
        <w:rPr>
          <w:b/>
          <w:bCs/>
          <w:lang w:val="ru-RU"/>
        </w:rPr>
        <w:t>2. Основная карточка доклада</w:t>
      </w:r>
      <w:r w:rsidR="00147F3A">
        <w:rPr>
          <w:b/>
          <w:bCs/>
          <w:lang w:val="ru-RU"/>
        </w:rPr>
        <w:t xml:space="preserve"> на странице «</w:t>
      </w:r>
      <w:r w:rsidR="00230463" w:rsidRPr="00230463">
        <w:rPr>
          <w:b/>
          <w:bCs/>
          <w:lang w:val="ru-RU"/>
        </w:rPr>
        <w:t>Макроэкономические прогнозы</w:t>
      </w:r>
      <w:r w:rsidR="00147F3A">
        <w:rPr>
          <w:b/>
          <w:bCs/>
          <w:lang w:val="ru-RU"/>
        </w:rPr>
        <w:t>»</w:t>
      </w:r>
    </w:p>
    <w:p w14:paraId="1F1275FC" w14:textId="6E3C0CF9" w:rsidR="00D46C2D" w:rsidRDefault="00D46C2D" w:rsidP="00D46C2D">
      <w:pPr>
        <w:rPr>
          <w:lang w:val="ru-RU"/>
        </w:rPr>
      </w:pPr>
      <w:r w:rsidRPr="00D46C2D">
        <w:rPr>
          <w:lang w:val="ru-RU"/>
        </w:rPr>
        <w:t>Отобразить следующую информацию: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2280"/>
        <w:gridCol w:w="7076"/>
      </w:tblGrid>
      <w:tr w:rsidR="008D0AAA" w:rsidRPr="008D0AAA" w14:paraId="2A459CA5" w14:textId="77777777" w:rsidTr="00036450">
        <w:trPr>
          <w:trHeight w:val="510"/>
        </w:trPr>
        <w:tc>
          <w:tcPr>
            <w:tcW w:w="2280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BDBDB"/>
            <w:vAlign w:val="center"/>
            <w:hideMark/>
          </w:tcPr>
          <w:p w14:paraId="1BB5C955" w14:textId="1CF6F954" w:rsidR="008D0AAA" w:rsidRPr="008D0AAA" w:rsidRDefault="00147F3A" w:rsidP="008D0AA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  <w:t>Обложка</w:t>
            </w:r>
          </w:p>
        </w:tc>
        <w:tc>
          <w:tcPr>
            <w:tcW w:w="7076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27F983E4" w14:textId="07A7A7F3" w:rsidR="008D0AAA" w:rsidRPr="008D0AAA" w:rsidRDefault="00230463" w:rsidP="00CF10D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30463">
              <w:rPr>
                <w:rFonts w:eastAsia="Times New Roman"/>
                <w:color w:val="000000"/>
                <w:sz w:val="20"/>
                <w:szCs w:val="20"/>
              </w:rPr>
              <w:t>EDB_Macroeconomic_Outlook_2026-2028_Cover_RU</w:t>
            </w:r>
          </w:p>
        </w:tc>
      </w:tr>
      <w:tr w:rsidR="00147F3A" w:rsidRPr="00FA2967" w14:paraId="4CDB34AB" w14:textId="77777777" w:rsidTr="00036450">
        <w:trPr>
          <w:trHeight w:val="510"/>
        </w:trPr>
        <w:tc>
          <w:tcPr>
            <w:tcW w:w="2280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BDBDB"/>
            <w:vAlign w:val="center"/>
          </w:tcPr>
          <w:p w14:paraId="14633FE7" w14:textId="1B231017" w:rsidR="00147F3A" w:rsidRPr="008D0AAA" w:rsidRDefault="00147F3A" w:rsidP="00147F3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D0A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Название</w:t>
            </w:r>
            <w:proofErr w:type="spellEnd"/>
            <w:r w:rsidRPr="008D0A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0A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доклада</w:t>
            </w:r>
            <w:proofErr w:type="spellEnd"/>
          </w:p>
        </w:tc>
        <w:tc>
          <w:tcPr>
            <w:tcW w:w="7076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</w:tcPr>
          <w:p w14:paraId="3E974913" w14:textId="21CF9FB1" w:rsidR="00147F3A" w:rsidRPr="001C730C" w:rsidRDefault="00FA2967" w:rsidP="00147F3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FA2967">
              <w:rPr>
                <w:rFonts w:eastAsia="Times New Roman"/>
                <w:iCs/>
                <w:color w:val="000000"/>
                <w:sz w:val="20"/>
                <w:szCs w:val="20"/>
                <w:lang w:val="ru-RU"/>
              </w:rPr>
              <w:t>Макроэкономический прогноз 2026–2028</w:t>
            </w:r>
          </w:p>
        </w:tc>
      </w:tr>
      <w:tr w:rsidR="00147F3A" w:rsidRPr="00230463" w14:paraId="07F7F094" w14:textId="77777777" w:rsidTr="00036450">
        <w:trPr>
          <w:trHeight w:val="1020"/>
        </w:trPr>
        <w:tc>
          <w:tcPr>
            <w:tcW w:w="22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BDBDB"/>
            <w:vAlign w:val="center"/>
            <w:hideMark/>
          </w:tcPr>
          <w:p w14:paraId="4B971F1C" w14:textId="77777777" w:rsidR="00147F3A" w:rsidRPr="008D0AAA" w:rsidRDefault="00147F3A" w:rsidP="00147F3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D0A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Краткая</w:t>
            </w:r>
            <w:proofErr w:type="spellEnd"/>
            <w:r w:rsidRPr="008D0A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0A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аннотация</w:t>
            </w:r>
            <w:proofErr w:type="spellEnd"/>
          </w:p>
        </w:tc>
        <w:tc>
          <w:tcPr>
            <w:tcW w:w="70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7F9165B6" w14:textId="19A6CAC2" w:rsidR="00147F3A" w:rsidRPr="008D0AAA" w:rsidRDefault="00230463" w:rsidP="009A582E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230463">
              <w:rPr>
                <w:rFonts w:eastAsia="Times New Roman"/>
                <w:color w:val="000000"/>
                <w:sz w:val="20"/>
                <w:szCs w:val="20"/>
                <w:lang w:val="ru-RU"/>
              </w:rPr>
              <w:t>Евразийский банк развития (ЕАБР) опубликовал Макроэкономический прогноз для семи государств — участников. В аналитическом материале представлен анализ экономического развития государств — участников Банка в 2025 г. и прогноз основных макроэкономических показателей на 2026–2028 гг.</w:t>
            </w:r>
          </w:p>
        </w:tc>
      </w:tr>
      <w:tr w:rsidR="00147F3A" w:rsidRPr="008D0AAA" w14:paraId="2D4557D8" w14:textId="77777777" w:rsidTr="00036450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BDBDB"/>
            <w:vAlign w:val="center"/>
            <w:hideMark/>
          </w:tcPr>
          <w:p w14:paraId="4DD5222D" w14:textId="77777777" w:rsidR="00147F3A" w:rsidRPr="008D0AAA" w:rsidRDefault="00147F3A" w:rsidP="00147F3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D0A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8D0A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0A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публикации</w:t>
            </w:r>
            <w:proofErr w:type="spellEnd"/>
          </w:p>
        </w:tc>
        <w:tc>
          <w:tcPr>
            <w:tcW w:w="70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048CEBF9" w14:textId="1D7A0303" w:rsidR="00147F3A" w:rsidRPr="008D0AAA" w:rsidRDefault="00FA2967" w:rsidP="001C73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18</w:t>
            </w:r>
            <w:r w:rsidR="00796ED9" w:rsidRPr="00796ED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1C730C">
              <w:rPr>
                <w:rFonts w:eastAsia="Times New Roman"/>
                <w:color w:val="000000"/>
                <w:sz w:val="20"/>
                <w:szCs w:val="20"/>
                <w:lang w:val="ru-RU"/>
              </w:rPr>
              <w:t>декабря</w:t>
            </w:r>
            <w:r w:rsidR="00796ED9" w:rsidRPr="00796ED9">
              <w:rPr>
                <w:rFonts w:eastAsia="Times New Roman"/>
                <w:color w:val="000000"/>
                <w:sz w:val="20"/>
                <w:szCs w:val="20"/>
              </w:rPr>
              <w:t xml:space="preserve"> 2025</w:t>
            </w:r>
          </w:p>
        </w:tc>
      </w:tr>
    </w:tbl>
    <w:p w14:paraId="10CA8FBD" w14:textId="77777777" w:rsidR="008D0AAA" w:rsidRPr="00D46C2D" w:rsidRDefault="008D0AAA" w:rsidP="00D46C2D">
      <w:pPr>
        <w:rPr>
          <w:lang w:val="ru-RU"/>
        </w:rPr>
      </w:pPr>
    </w:p>
    <w:p w14:paraId="2EE9D125" w14:textId="50404172" w:rsidR="00D46C2D" w:rsidRPr="00D46C2D" w:rsidRDefault="00D46C2D" w:rsidP="00D46C2D">
      <w:pPr>
        <w:rPr>
          <w:b/>
          <w:bCs/>
          <w:lang w:val="ru-RU"/>
        </w:rPr>
      </w:pPr>
      <w:r w:rsidRPr="00D46C2D">
        <w:rPr>
          <w:b/>
          <w:bCs/>
          <w:lang w:val="ru-RU"/>
        </w:rPr>
        <w:t>3. Отдельная страница доклада</w:t>
      </w:r>
      <w:bookmarkStart w:id="0" w:name="_GoBack"/>
      <w:bookmarkEnd w:id="0"/>
    </w:p>
    <w:p w14:paraId="5B094D7C" w14:textId="77777777" w:rsidR="00D46C2D" w:rsidRPr="00D46C2D" w:rsidRDefault="00D46C2D" w:rsidP="00D46C2D">
      <w:pPr>
        <w:rPr>
          <w:lang w:val="ru-RU"/>
        </w:rPr>
      </w:pPr>
      <w:r w:rsidRPr="00D46C2D">
        <w:rPr>
          <w:b/>
          <w:bCs/>
          <w:lang w:val="ru-RU"/>
        </w:rPr>
        <w:t>Структура страницы:</w:t>
      </w: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1914"/>
        <w:gridCol w:w="318"/>
        <w:gridCol w:w="1835"/>
        <w:gridCol w:w="5283"/>
      </w:tblGrid>
      <w:tr w:rsidR="003E079B" w:rsidRPr="00FA2967" w14:paraId="21B0097B" w14:textId="77777777" w:rsidTr="00D64958">
        <w:trPr>
          <w:trHeight w:val="525"/>
        </w:trPr>
        <w:tc>
          <w:tcPr>
            <w:tcW w:w="1914" w:type="dxa"/>
            <w:vMerge w:val="restart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BDBDB"/>
            <w:noWrap/>
            <w:vAlign w:val="center"/>
            <w:hideMark/>
          </w:tcPr>
          <w:p w14:paraId="290F9413" w14:textId="43D05B82" w:rsidR="003E079B" w:rsidRPr="00790600" w:rsidRDefault="003E079B" w:rsidP="0079060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  <w:t>Верхний</w:t>
            </w:r>
            <w:r w:rsidRPr="0079060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060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блок</w:t>
            </w:r>
            <w:proofErr w:type="spellEnd"/>
          </w:p>
        </w:tc>
        <w:tc>
          <w:tcPr>
            <w:tcW w:w="318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auto"/>
            </w:tcBorders>
            <w:vAlign w:val="center"/>
          </w:tcPr>
          <w:p w14:paraId="6A334B93" w14:textId="05D9401A" w:rsidR="003E079B" w:rsidRPr="00790600" w:rsidRDefault="003E079B" w:rsidP="003E079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single" w:sz="4" w:space="0" w:color="757171"/>
              <w:left w:val="single" w:sz="4" w:space="0" w:color="auto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center"/>
            <w:hideMark/>
          </w:tcPr>
          <w:p w14:paraId="55B05E77" w14:textId="4949EE06" w:rsidR="003E079B" w:rsidRPr="00790600" w:rsidRDefault="003E079B" w:rsidP="0079060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060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Заголовок</w:t>
            </w:r>
            <w:proofErr w:type="spellEnd"/>
          </w:p>
        </w:tc>
        <w:tc>
          <w:tcPr>
            <w:tcW w:w="5283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vAlign w:val="bottom"/>
            <w:hideMark/>
          </w:tcPr>
          <w:p w14:paraId="6A24D298" w14:textId="244B7FBC" w:rsidR="003E079B" w:rsidRPr="00796ED9" w:rsidRDefault="00FA2967" w:rsidP="00790600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FA2967">
              <w:rPr>
                <w:rFonts w:eastAsia="Times New Roman"/>
                <w:iCs/>
                <w:color w:val="000000"/>
                <w:sz w:val="20"/>
                <w:szCs w:val="20"/>
                <w:lang w:val="ru-RU"/>
              </w:rPr>
              <w:t>Макроэкономический прогноз 2026–2028</w:t>
            </w:r>
          </w:p>
        </w:tc>
      </w:tr>
      <w:tr w:rsidR="003E079B" w:rsidRPr="00790600" w14:paraId="3CFEAEA1" w14:textId="77777777" w:rsidTr="00D64958">
        <w:trPr>
          <w:trHeight w:val="300"/>
        </w:trPr>
        <w:tc>
          <w:tcPr>
            <w:tcW w:w="1914" w:type="dxa"/>
            <w:vMerge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9687B9D" w14:textId="77777777" w:rsidR="003E079B" w:rsidRPr="00790600" w:rsidRDefault="003E079B" w:rsidP="00790600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8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auto"/>
            </w:tcBorders>
            <w:vAlign w:val="center"/>
          </w:tcPr>
          <w:p w14:paraId="5DF72C37" w14:textId="7A7CCA3B" w:rsidR="003E079B" w:rsidRPr="00790600" w:rsidRDefault="003E079B" w:rsidP="003E079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bottom"/>
            <w:hideMark/>
          </w:tcPr>
          <w:p w14:paraId="385B1E43" w14:textId="112252F9" w:rsidR="003E079B" w:rsidRPr="00790600" w:rsidRDefault="003E079B" w:rsidP="0079060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060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79060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060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публикации</w:t>
            </w:r>
            <w:proofErr w:type="spellEnd"/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bottom"/>
            <w:hideMark/>
          </w:tcPr>
          <w:p w14:paraId="1AA4BD4B" w14:textId="108F6524" w:rsidR="003E079B" w:rsidRPr="00790600" w:rsidRDefault="00FA2967" w:rsidP="00796ED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u-RU"/>
              </w:rPr>
              <w:t>18</w:t>
            </w:r>
            <w:r w:rsidR="001C730C" w:rsidRPr="00796ED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1C730C">
              <w:rPr>
                <w:rFonts w:eastAsia="Times New Roman"/>
                <w:color w:val="000000"/>
                <w:sz w:val="20"/>
                <w:szCs w:val="20"/>
                <w:lang w:val="ru-RU"/>
              </w:rPr>
              <w:t>декабря</w:t>
            </w:r>
            <w:r w:rsidR="001C730C" w:rsidRPr="00796ED9">
              <w:rPr>
                <w:rFonts w:eastAsia="Times New Roman"/>
                <w:color w:val="000000"/>
                <w:sz w:val="20"/>
                <w:szCs w:val="20"/>
              </w:rPr>
              <w:t xml:space="preserve"> 2025</w:t>
            </w:r>
          </w:p>
        </w:tc>
      </w:tr>
      <w:tr w:rsidR="003E079B" w:rsidRPr="00790600" w14:paraId="00F3F5B0" w14:textId="77777777" w:rsidTr="00F13242">
        <w:trPr>
          <w:trHeight w:val="300"/>
        </w:trPr>
        <w:tc>
          <w:tcPr>
            <w:tcW w:w="1914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BDBDB"/>
            <w:noWrap/>
            <w:vAlign w:val="center"/>
            <w:hideMark/>
          </w:tcPr>
          <w:p w14:paraId="117E1BCD" w14:textId="77777777" w:rsidR="003E079B" w:rsidRPr="00790600" w:rsidRDefault="003E079B" w:rsidP="0079060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060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Левый</w:t>
            </w:r>
            <w:proofErr w:type="spellEnd"/>
            <w:r w:rsidRPr="0079060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060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блок</w:t>
            </w:r>
            <w:proofErr w:type="spellEnd"/>
          </w:p>
        </w:tc>
        <w:tc>
          <w:tcPr>
            <w:tcW w:w="318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auto"/>
            </w:tcBorders>
            <w:vAlign w:val="center"/>
          </w:tcPr>
          <w:p w14:paraId="2A93880A" w14:textId="206740C2" w:rsidR="003E079B" w:rsidRPr="00790600" w:rsidRDefault="003E079B" w:rsidP="003E079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bottom"/>
            <w:hideMark/>
          </w:tcPr>
          <w:p w14:paraId="2DFD3BA0" w14:textId="16052B01" w:rsidR="003E079B" w:rsidRPr="00790600" w:rsidRDefault="003E079B" w:rsidP="0079060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060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Обложка</w:t>
            </w:r>
            <w:proofErr w:type="spellEnd"/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bottom"/>
          </w:tcPr>
          <w:p w14:paraId="66E52CC8" w14:textId="223D28A8" w:rsidR="003E079B" w:rsidRPr="001C730C" w:rsidRDefault="00230463" w:rsidP="00790600">
            <w:pPr>
              <w:rPr>
                <w:rFonts w:eastAsia="Times New Roman"/>
                <w:color w:val="000000"/>
                <w:sz w:val="20"/>
                <w:szCs w:val="20"/>
                <w:highlight w:val="yellow"/>
              </w:rPr>
            </w:pPr>
            <w:r w:rsidRPr="00230463">
              <w:rPr>
                <w:rFonts w:eastAsia="Times New Roman"/>
                <w:color w:val="000000"/>
                <w:sz w:val="20"/>
                <w:szCs w:val="20"/>
              </w:rPr>
              <w:t>EDB_Macroeconomic_Outlook_2026-2028_Cover_RU</w:t>
            </w:r>
          </w:p>
        </w:tc>
      </w:tr>
      <w:tr w:rsidR="003E079B" w:rsidRPr="00790600" w14:paraId="0326378E" w14:textId="77777777" w:rsidTr="00F13242">
        <w:trPr>
          <w:trHeight w:val="300"/>
        </w:trPr>
        <w:tc>
          <w:tcPr>
            <w:tcW w:w="1914" w:type="dxa"/>
            <w:vMerge w:val="restart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BDBDB"/>
            <w:noWrap/>
            <w:vAlign w:val="center"/>
            <w:hideMark/>
          </w:tcPr>
          <w:p w14:paraId="2A250C2C" w14:textId="77777777" w:rsidR="003E079B" w:rsidRPr="00790600" w:rsidRDefault="003E079B" w:rsidP="0079060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060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Правый</w:t>
            </w:r>
            <w:proofErr w:type="spellEnd"/>
            <w:r w:rsidRPr="0079060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060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блок</w:t>
            </w:r>
            <w:proofErr w:type="spellEnd"/>
            <w:r w:rsidRPr="0079060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(icons)</w:t>
            </w:r>
          </w:p>
        </w:tc>
        <w:tc>
          <w:tcPr>
            <w:tcW w:w="318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auto"/>
            </w:tcBorders>
            <w:vAlign w:val="center"/>
          </w:tcPr>
          <w:p w14:paraId="5F5C2C90" w14:textId="342C07C0" w:rsidR="003E079B" w:rsidRPr="00790600" w:rsidRDefault="003E079B" w:rsidP="003E079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bottom"/>
            <w:hideMark/>
          </w:tcPr>
          <w:p w14:paraId="6A50C668" w14:textId="4026E414" w:rsidR="003E079B" w:rsidRPr="00790600" w:rsidRDefault="003E079B" w:rsidP="0079060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9060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Доклад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bottom"/>
          </w:tcPr>
          <w:p w14:paraId="37D861A1" w14:textId="08CBDE32" w:rsidR="003E079B" w:rsidRPr="001C730C" w:rsidRDefault="00230463" w:rsidP="001E25CC">
            <w:pPr>
              <w:rPr>
                <w:rFonts w:eastAsia="Times New Roman"/>
                <w:color w:val="000000"/>
                <w:sz w:val="20"/>
                <w:szCs w:val="20"/>
                <w:highlight w:val="yellow"/>
              </w:rPr>
            </w:pPr>
            <w:r w:rsidRPr="00230463">
              <w:rPr>
                <w:rFonts w:eastAsia="Times New Roman"/>
                <w:color w:val="000000"/>
                <w:sz w:val="20"/>
                <w:szCs w:val="20"/>
              </w:rPr>
              <w:t>EDB_Macroeconomic_Outlook_2026-2028_Report_RU</w:t>
            </w:r>
          </w:p>
        </w:tc>
      </w:tr>
      <w:tr w:rsidR="00796ED9" w:rsidRPr="00790600" w14:paraId="6A7CD7C5" w14:textId="77777777" w:rsidTr="00F13242">
        <w:trPr>
          <w:trHeight w:val="300"/>
        </w:trPr>
        <w:tc>
          <w:tcPr>
            <w:tcW w:w="1914" w:type="dxa"/>
            <w:vMerge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BDBDB"/>
            <w:noWrap/>
            <w:vAlign w:val="center"/>
          </w:tcPr>
          <w:p w14:paraId="057CB06C" w14:textId="77777777" w:rsidR="00796ED9" w:rsidRPr="00790600" w:rsidRDefault="00796ED9" w:rsidP="00796ED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auto"/>
            </w:tcBorders>
            <w:vAlign w:val="center"/>
          </w:tcPr>
          <w:p w14:paraId="1B88DE07" w14:textId="0EA6D926" w:rsidR="00796ED9" w:rsidRDefault="00796ED9" w:rsidP="00796ED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bottom"/>
          </w:tcPr>
          <w:p w14:paraId="6CBA6E42" w14:textId="31E5472B" w:rsidR="00796ED9" w:rsidRPr="00790600" w:rsidRDefault="00796ED9" w:rsidP="00796ED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060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Резюме</w:t>
            </w:r>
            <w:proofErr w:type="spellEnd"/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bottom"/>
          </w:tcPr>
          <w:p w14:paraId="4724D143" w14:textId="718F27CF" w:rsidR="00796ED9" w:rsidRPr="001C730C" w:rsidRDefault="00230463" w:rsidP="00F947F1">
            <w:pPr>
              <w:rPr>
                <w:rFonts w:eastAsia="Times New Roman"/>
                <w:color w:val="000000"/>
                <w:sz w:val="20"/>
                <w:szCs w:val="20"/>
                <w:highlight w:val="yellow"/>
              </w:rPr>
            </w:pPr>
            <w:r w:rsidRPr="00230463">
              <w:rPr>
                <w:rFonts w:eastAsia="Times New Roman"/>
                <w:color w:val="000000"/>
                <w:sz w:val="20"/>
                <w:szCs w:val="20"/>
              </w:rPr>
              <w:t>EDB_Macroeconomic_Outlook_2026-2028_Summary_RU</w:t>
            </w:r>
          </w:p>
        </w:tc>
      </w:tr>
      <w:tr w:rsidR="00796ED9" w:rsidRPr="00790600" w14:paraId="3A4C11F9" w14:textId="77777777" w:rsidTr="00F13242">
        <w:trPr>
          <w:trHeight w:val="300"/>
        </w:trPr>
        <w:tc>
          <w:tcPr>
            <w:tcW w:w="1914" w:type="dxa"/>
            <w:vMerge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BDBDB"/>
            <w:noWrap/>
            <w:vAlign w:val="center"/>
          </w:tcPr>
          <w:p w14:paraId="5AF2645B" w14:textId="77777777" w:rsidR="00796ED9" w:rsidRPr="00790600" w:rsidRDefault="00796ED9" w:rsidP="00796ED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auto"/>
            </w:tcBorders>
            <w:vAlign w:val="center"/>
          </w:tcPr>
          <w:p w14:paraId="2000E355" w14:textId="39DD9C9A" w:rsidR="00796ED9" w:rsidRPr="00796ED9" w:rsidRDefault="00796ED9" w:rsidP="00796ED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bottom"/>
          </w:tcPr>
          <w:p w14:paraId="5D1DF969" w14:textId="67AC1D0A" w:rsidR="00796ED9" w:rsidRPr="00796ED9" w:rsidRDefault="00796ED9" w:rsidP="00796ED9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  <w:t>Ключевые выводы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bottom"/>
          </w:tcPr>
          <w:p w14:paraId="61F62090" w14:textId="567E0AF9" w:rsidR="00796ED9" w:rsidRPr="001C730C" w:rsidRDefault="00230463" w:rsidP="00796ED9">
            <w:pPr>
              <w:rPr>
                <w:rFonts w:eastAsia="Times New Roman"/>
                <w:color w:val="000000"/>
                <w:sz w:val="20"/>
                <w:szCs w:val="20"/>
                <w:highlight w:val="yellow"/>
              </w:rPr>
            </w:pPr>
            <w:r w:rsidRPr="00230463">
              <w:rPr>
                <w:rFonts w:eastAsia="Times New Roman"/>
                <w:color w:val="000000"/>
                <w:sz w:val="20"/>
                <w:szCs w:val="20"/>
              </w:rPr>
              <w:t xml:space="preserve">EDB_Macroeconomic_Outlook_2026-2028_Key </w:t>
            </w:r>
            <w:proofErr w:type="spellStart"/>
            <w:r w:rsidRPr="00230463">
              <w:rPr>
                <w:rFonts w:eastAsia="Times New Roman"/>
                <w:color w:val="000000"/>
                <w:sz w:val="20"/>
                <w:szCs w:val="20"/>
              </w:rPr>
              <w:t>Findings_RU</w:t>
            </w:r>
            <w:proofErr w:type="spellEnd"/>
          </w:p>
        </w:tc>
      </w:tr>
      <w:tr w:rsidR="00796ED9" w:rsidRPr="00230463" w14:paraId="1EA2248E" w14:textId="77777777" w:rsidTr="00F13242">
        <w:trPr>
          <w:trHeight w:val="300"/>
        </w:trPr>
        <w:tc>
          <w:tcPr>
            <w:tcW w:w="1914" w:type="dxa"/>
            <w:vMerge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C2E02CC" w14:textId="77777777" w:rsidR="00796ED9" w:rsidRPr="00790600" w:rsidRDefault="00796ED9" w:rsidP="00796ED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auto"/>
            </w:tcBorders>
            <w:vAlign w:val="center"/>
          </w:tcPr>
          <w:p w14:paraId="53E29EE8" w14:textId="6F04BD91" w:rsidR="00796ED9" w:rsidRPr="00FA2967" w:rsidRDefault="00796ED9" w:rsidP="00796ED9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</w:pPr>
            <w:r w:rsidRPr="00FA2967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bottom"/>
            <w:hideMark/>
          </w:tcPr>
          <w:p w14:paraId="3C2E3F80" w14:textId="579106C8" w:rsidR="00796ED9" w:rsidRPr="00FA2967" w:rsidRDefault="00796ED9" w:rsidP="00796ED9">
            <w:pPr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FA2967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Презентация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bottom"/>
          </w:tcPr>
          <w:p w14:paraId="5546F7ED" w14:textId="2257DE1D" w:rsidR="00796ED9" w:rsidRPr="00230463" w:rsidRDefault="00230463" w:rsidP="00F34239">
            <w:pPr>
              <w:rPr>
                <w:rFonts w:eastAsia="Times New Roman"/>
                <w:color w:val="000000" w:themeColor="text1"/>
                <w:sz w:val="20"/>
                <w:szCs w:val="20"/>
                <w:highlight w:val="yellow"/>
              </w:rPr>
            </w:pPr>
            <w:r w:rsidRPr="00230463">
              <w:rPr>
                <w:rFonts w:eastAsia="Times New Roman"/>
                <w:color w:val="000000" w:themeColor="text1"/>
                <w:sz w:val="20"/>
                <w:szCs w:val="20"/>
              </w:rPr>
              <w:t>EDB_Macroeconomic_Outlook_2026-2028_Presentation_RU</w:t>
            </w:r>
          </w:p>
        </w:tc>
      </w:tr>
      <w:tr w:rsidR="00796ED9" w:rsidRPr="00790600" w14:paraId="0C532C49" w14:textId="77777777" w:rsidTr="00D64958">
        <w:trPr>
          <w:trHeight w:val="300"/>
        </w:trPr>
        <w:tc>
          <w:tcPr>
            <w:tcW w:w="1914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BDBDB"/>
            <w:noWrap/>
            <w:vAlign w:val="center"/>
            <w:hideMark/>
          </w:tcPr>
          <w:p w14:paraId="400A89A5" w14:textId="77777777" w:rsidR="00796ED9" w:rsidRPr="00790600" w:rsidRDefault="00796ED9" w:rsidP="00796ED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060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Центральный</w:t>
            </w:r>
            <w:proofErr w:type="spellEnd"/>
            <w:r w:rsidRPr="0079060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060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блок</w:t>
            </w:r>
            <w:proofErr w:type="spellEnd"/>
          </w:p>
        </w:tc>
        <w:tc>
          <w:tcPr>
            <w:tcW w:w="318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auto"/>
            </w:tcBorders>
            <w:vAlign w:val="center"/>
          </w:tcPr>
          <w:p w14:paraId="7344FDBA" w14:textId="11D670CE" w:rsidR="00796ED9" w:rsidRPr="00790600" w:rsidRDefault="00796ED9" w:rsidP="00796ED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bottom"/>
            <w:hideMark/>
          </w:tcPr>
          <w:p w14:paraId="6F4F60CC" w14:textId="251B6ED9" w:rsidR="00796ED9" w:rsidRPr="00790600" w:rsidRDefault="00796ED9" w:rsidP="00796ED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060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Описание</w:t>
            </w:r>
            <w:proofErr w:type="spellEnd"/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auto" w:fill="auto"/>
            <w:noWrap/>
            <w:vAlign w:val="bottom"/>
            <w:hideMark/>
          </w:tcPr>
          <w:p w14:paraId="5341547D" w14:textId="77777777" w:rsidR="00796ED9" w:rsidRPr="001E25CC" w:rsidRDefault="00796ED9" w:rsidP="00796ED9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E25CC">
              <w:rPr>
                <w:rFonts w:eastAsia="Times New Roman"/>
                <w:color w:val="000000"/>
                <w:sz w:val="20"/>
                <w:szCs w:val="20"/>
              </w:rPr>
              <w:t>Текст</w:t>
            </w:r>
            <w:proofErr w:type="spellEnd"/>
            <w:r w:rsidRPr="001E25C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25CC">
              <w:rPr>
                <w:rFonts w:eastAsia="Times New Roman"/>
                <w:color w:val="000000"/>
                <w:sz w:val="20"/>
                <w:szCs w:val="20"/>
              </w:rPr>
              <w:t>ниже</w:t>
            </w:r>
            <w:proofErr w:type="spellEnd"/>
          </w:p>
        </w:tc>
      </w:tr>
    </w:tbl>
    <w:p w14:paraId="5A836842" w14:textId="77777777" w:rsidR="00790600" w:rsidRPr="00CF10D1" w:rsidRDefault="00790600" w:rsidP="00D46C2D"/>
    <w:p w14:paraId="5BF18B75" w14:textId="675D6C22" w:rsidR="00D46C2D" w:rsidRPr="00CF10D1" w:rsidRDefault="00790600" w:rsidP="00D46C2D">
      <w:pPr>
        <w:rPr>
          <w:b/>
        </w:rPr>
      </w:pPr>
      <w:r w:rsidRPr="00790600">
        <w:rPr>
          <w:b/>
          <w:lang w:val="ru-RU"/>
        </w:rPr>
        <w:t>Описание:</w:t>
      </w:r>
    </w:p>
    <w:p w14:paraId="58A65A8D" w14:textId="77777777" w:rsidR="00230463" w:rsidRPr="00230463" w:rsidRDefault="00230463" w:rsidP="00230463">
      <w:pPr>
        <w:spacing w:before="120" w:after="120"/>
        <w:jc w:val="both"/>
        <w:rPr>
          <w:rFonts w:asciiTheme="minorHAnsi" w:eastAsia="Times New Roman" w:hAnsiTheme="minorHAnsi" w:cstheme="minorHAnsi"/>
          <w:lang w:val="ru-RU"/>
        </w:rPr>
      </w:pPr>
      <w:r w:rsidRPr="00230463">
        <w:rPr>
          <w:rFonts w:asciiTheme="minorHAnsi" w:eastAsia="Times New Roman" w:hAnsiTheme="minorHAnsi" w:cstheme="minorHAnsi"/>
          <w:lang w:val="ru-RU"/>
        </w:rPr>
        <w:t xml:space="preserve">ЕАБР опубликовал доклад с оценками развития ситуации в мировой экономике и Евразийском регионе. Согласно прогнозам аналитиков ЕАБР, мировая экономика сохраняет умеренные темпы роста и постепенно адаптируется к новым торговым барьерам. Рост в развитых экономиках остается слабым, а развивающиеся экономики с крупными рынками сохраняют повышенную экономическую активность. В США в 2026 году ожидается рост около 1,6%. Высокий уровень долга будет сдерживать инвестиции, но строительство </w:t>
      </w:r>
      <w:r w:rsidRPr="00230463">
        <w:rPr>
          <w:rFonts w:asciiTheme="minorHAnsi" w:eastAsia="Times New Roman" w:hAnsiTheme="minorHAnsi" w:cstheme="minorHAnsi"/>
        </w:rPr>
        <w:t>IT</w:t>
      </w:r>
      <w:r w:rsidRPr="00230463">
        <w:rPr>
          <w:rFonts w:asciiTheme="minorHAnsi" w:eastAsia="Times New Roman" w:hAnsiTheme="minorHAnsi" w:cstheme="minorHAnsi"/>
          <w:lang w:val="ru-RU"/>
        </w:rPr>
        <w:t>-инфраструктуры поддержит экономическую активность. Рост в еврозоне останется слабым — около 1,1%, поддержку в основном обеспечит увеличение государственных инвестиций в оборону и инфраструктуру. Китайская экономика продолжит развиваться высокими темпами: прогноз — 4,6% в 2026 году, чему будет способствовать стимулирование внутреннего спроса властями.</w:t>
      </w:r>
    </w:p>
    <w:p w14:paraId="00ECB469" w14:textId="77777777" w:rsidR="00230463" w:rsidRPr="00230463" w:rsidRDefault="00230463" w:rsidP="00230463">
      <w:pPr>
        <w:spacing w:before="120" w:after="120"/>
        <w:jc w:val="both"/>
        <w:rPr>
          <w:rFonts w:asciiTheme="minorHAnsi" w:eastAsia="Times New Roman" w:hAnsiTheme="minorHAnsi" w:cstheme="minorHAnsi"/>
          <w:lang w:val="ru-RU"/>
        </w:rPr>
      </w:pPr>
      <w:r w:rsidRPr="00230463">
        <w:rPr>
          <w:rFonts w:asciiTheme="minorHAnsi" w:eastAsia="Times New Roman" w:hAnsiTheme="minorHAnsi" w:cstheme="minorHAnsi"/>
          <w:lang w:val="ru-RU"/>
        </w:rPr>
        <w:t>Инфляция в США и еврозоне останется выше целевых уровней в 2026–2028 годах. Рост издержек на фоне тарифных конфликтов ограничивает скорость снижения ставок в США и может вызвать повышение ставок ЕЦБ в 2026 году.</w:t>
      </w:r>
    </w:p>
    <w:p w14:paraId="13D1C3D0" w14:textId="77777777" w:rsidR="00230463" w:rsidRPr="00230463" w:rsidRDefault="00230463" w:rsidP="00230463">
      <w:pPr>
        <w:spacing w:before="120" w:after="120"/>
        <w:jc w:val="both"/>
        <w:rPr>
          <w:rFonts w:asciiTheme="minorHAnsi" w:eastAsia="Times New Roman" w:hAnsiTheme="minorHAnsi" w:cstheme="minorHAnsi"/>
          <w:lang w:val="ru-RU"/>
        </w:rPr>
      </w:pPr>
      <w:r w:rsidRPr="00230463">
        <w:rPr>
          <w:rFonts w:asciiTheme="minorHAnsi" w:eastAsia="Times New Roman" w:hAnsiTheme="minorHAnsi" w:cstheme="minorHAnsi"/>
          <w:lang w:val="ru-RU"/>
        </w:rPr>
        <w:t>Экономика региона операций ЕАБР продолжит устойчиво расти – на 2,3% по итогам 2026 года. Прогнозируемая динамика мировой экономики и сырьевых рынков не создаст</w:t>
      </w:r>
      <w:r w:rsidRPr="00230463" w:rsidDel="000D7702">
        <w:rPr>
          <w:rFonts w:asciiTheme="minorHAnsi" w:eastAsia="Times New Roman" w:hAnsiTheme="minorHAnsi" w:cstheme="minorHAnsi"/>
          <w:lang w:val="ru-RU"/>
        </w:rPr>
        <w:t xml:space="preserve"> </w:t>
      </w:r>
      <w:r w:rsidRPr="00230463">
        <w:rPr>
          <w:rFonts w:asciiTheme="minorHAnsi" w:eastAsia="Times New Roman" w:hAnsiTheme="minorHAnsi" w:cstheme="minorHAnsi"/>
          <w:lang w:val="ru-RU"/>
        </w:rPr>
        <w:t>серьезных препятствий для экономического роста</w:t>
      </w:r>
      <w:r w:rsidRPr="00230463" w:rsidDel="000D7702">
        <w:rPr>
          <w:rFonts w:asciiTheme="minorHAnsi" w:eastAsia="Times New Roman" w:hAnsiTheme="minorHAnsi" w:cstheme="minorHAnsi"/>
          <w:lang w:val="ru-RU"/>
        </w:rPr>
        <w:t xml:space="preserve"> </w:t>
      </w:r>
      <w:r w:rsidRPr="00230463">
        <w:rPr>
          <w:rFonts w:asciiTheme="minorHAnsi" w:eastAsia="Times New Roman" w:hAnsiTheme="minorHAnsi" w:cstheme="minorHAnsi"/>
          <w:lang w:val="ru-RU"/>
        </w:rPr>
        <w:t xml:space="preserve">в Евразийском регионе, хотя и не станет драйвером роста. Темпы роста экономик большинства стран региона останутся повышенными благодаря сильной </w:t>
      </w:r>
      <w:r w:rsidRPr="00230463">
        <w:rPr>
          <w:rFonts w:asciiTheme="minorHAnsi" w:eastAsia="Times New Roman" w:hAnsiTheme="minorHAnsi" w:cstheme="minorHAnsi"/>
          <w:lang w:val="ru-RU"/>
        </w:rPr>
        <w:lastRenderedPageBreak/>
        <w:t>инвестиционной активности. Инфляция будет постепенно снижаться в направлении целевого уровня. Рост цен в регионе замедлится до 6,3% в 2026 году с 6,9% в 2025 году при отсутствии дополнительных шоков благодаря взвешенной денежно-кредитной политике регуляторов стран-участниц ЕАБР.</w:t>
      </w:r>
    </w:p>
    <w:p w14:paraId="7151C7B8" w14:textId="77777777" w:rsidR="00230463" w:rsidRPr="00230463" w:rsidRDefault="00230463" w:rsidP="00230463">
      <w:pPr>
        <w:spacing w:before="120" w:after="120"/>
        <w:jc w:val="both"/>
        <w:rPr>
          <w:rFonts w:asciiTheme="minorHAnsi" w:eastAsia="Times New Roman" w:hAnsiTheme="minorHAnsi" w:cstheme="minorHAnsi"/>
          <w:b/>
          <w:lang w:val="ru-RU"/>
        </w:rPr>
      </w:pPr>
    </w:p>
    <w:p w14:paraId="6967DC48" w14:textId="77777777" w:rsidR="00230463" w:rsidRPr="00230463" w:rsidRDefault="00230463" w:rsidP="00230463">
      <w:pPr>
        <w:spacing w:before="120" w:after="120"/>
        <w:jc w:val="both"/>
        <w:rPr>
          <w:rFonts w:asciiTheme="minorHAnsi" w:eastAsia="Times New Roman" w:hAnsiTheme="minorHAnsi" w:cstheme="minorHAnsi"/>
          <w:b/>
          <w:lang w:val="ru-RU"/>
        </w:rPr>
      </w:pPr>
      <w:r w:rsidRPr="00230463">
        <w:rPr>
          <w:rFonts w:asciiTheme="minorHAnsi" w:eastAsia="Times New Roman" w:hAnsiTheme="minorHAnsi" w:cstheme="minorHAnsi"/>
          <w:b/>
          <w:lang w:val="ru-RU"/>
        </w:rPr>
        <w:t>Прогноз основных макроэкономических показателей государств — участников ЕАБР на 2026 год</w:t>
      </w:r>
    </w:p>
    <w:p w14:paraId="507AB71B" w14:textId="77777777" w:rsidR="00230463" w:rsidRPr="00230463" w:rsidRDefault="00230463" w:rsidP="00230463">
      <w:pPr>
        <w:spacing w:before="120" w:after="120"/>
        <w:jc w:val="both"/>
        <w:rPr>
          <w:rFonts w:asciiTheme="minorHAnsi" w:eastAsia="Times New Roman" w:hAnsiTheme="minorHAnsi" w:cstheme="minorHAnsi"/>
          <w:i/>
          <w:lang w:val="ru-RU"/>
        </w:rPr>
      </w:pPr>
      <w:r w:rsidRPr="00230463">
        <w:rPr>
          <w:rFonts w:asciiTheme="minorHAnsi" w:eastAsia="Times New Roman" w:hAnsiTheme="minorHAnsi" w:cstheme="minorHAnsi"/>
          <w:i/>
        </w:rPr>
        <w:drawing>
          <wp:inline distT="0" distB="0" distL="0" distR="0" wp14:anchorId="53D9FC5A" wp14:editId="6CB2E4A1">
            <wp:extent cx="4709636" cy="3088005"/>
            <wp:effectExtent l="0" t="0" r="0" b="0"/>
            <wp:docPr id="2" name="Рисунок 2" descr="\\eabrsfb04\EABR_Almaty\Дирекция по аналитической работе\Макроэкономика\Макро прогнозы\2025\ноябрь\Ключевые выводы\EDB-Macroreview_RU_UNO_2025-12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abrsfb04\EABR_Almaty\Дирекция по аналитической работе\Макроэкономика\Макро прогнозы\2025\ноябрь\Ключевые выводы\EDB-Macroreview_RU_UNO_2025-12-1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9" t="57288" r="8504" b="5953"/>
                    <a:stretch/>
                  </pic:blipFill>
                  <pic:spPr bwMode="auto">
                    <a:xfrm>
                      <a:off x="0" y="0"/>
                      <a:ext cx="4710617" cy="308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30463">
        <w:rPr>
          <w:rFonts w:asciiTheme="minorHAnsi" w:eastAsia="Times New Roman" w:hAnsiTheme="minorHAnsi" w:cstheme="minorHAnsi"/>
          <w:i/>
          <w:lang w:val="ru-RU"/>
        </w:rPr>
        <w:t xml:space="preserve"> </w:t>
      </w:r>
    </w:p>
    <w:p w14:paraId="0ECF77CE" w14:textId="77777777" w:rsidR="00230463" w:rsidRPr="00230463" w:rsidRDefault="00230463" w:rsidP="00230463">
      <w:pPr>
        <w:spacing w:before="120" w:after="120"/>
        <w:jc w:val="both"/>
        <w:rPr>
          <w:rFonts w:asciiTheme="minorHAnsi" w:eastAsia="Times New Roman" w:hAnsiTheme="minorHAnsi" w:cstheme="minorHAnsi"/>
          <w:lang w:val="ru-RU"/>
        </w:rPr>
      </w:pPr>
      <w:r w:rsidRPr="00230463">
        <w:rPr>
          <w:rFonts w:asciiTheme="minorHAnsi" w:eastAsia="Times New Roman" w:hAnsiTheme="minorHAnsi" w:cstheme="minorHAnsi"/>
          <w:i/>
          <w:lang w:val="ru-RU"/>
        </w:rPr>
        <w:t>Источник: расчеты аналитиков ЕАБР</w:t>
      </w:r>
    </w:p>
    <w:p w14:paraId="4833CA04" w14:textId="77777777" w:rsidR="00230463" w:rsidRPr="00230463" w:rsidRDefault="00230463" w:rsidP="00230463">
      <w:pPr>
        <w:spacing w:before="120" w:after="120"/>
        <w:jc w:val="both"/>
        <w:rPr>
          <w:rFonts w:asciiTheme="minorHAnsi" w:eastAsia="Times New Roman" w:hAnsiTheme="minorHAnsi" w:cstheme="minorHAnsi"/>
          <w:lang w:val="ru-RU"/>
        </w:rPr>
      </w:pPr>
      <w:r w:rsidRPr="00230463">
        <w:rPr>
          <w:rFonts w:asciiTheme="minorHAnsi" w:eastAsia="Times New Roman" w:hAnsiTheme="minorHAnsi" w:cstheme="minorHAnsi"/>
          <w:lang w:val="ru-RU"/>
        </w:rPr>
        <w:t>ВВП Армении, по прогнозам ЕАБР, увеличится на 5,3% в 2026 году. Основной фактор сохранения высоких темпов роста экономики – внутренний потребительский и инвестиционный спрос, поддерживаемый повышенным уровнем накоплений и кредитной активностью. Инфляция стабилизируется около целевого уровня, 3±1%, и составит 3,3% на конец 2026 года. Курс драма ожидается на уровне 393 за доллар в среднем за год из-за роста импорта под влиянием сильного внутреннего спроса</w:t>
      </w:r>
    </w:p>
    <w:p w14:paraId="05D9CD6E" w14:textId="77777777" w:rsidR="00230463" w:rsidRPr="00230463" w:rsidRDefault="00230463" w:rsidP="00230463">
      <w:pPr>
        <w:spacing w:before="120" w:after="120"/>
        <w:jc w:val="both"/>
        <w:rPr>
          <w:rFonts w:asciiTheme="minorHAnsi" w:eastAsia="Times New Roman" w:hAnsiTheme="minorHAnsi" w:cstheme="minorHAnsi"/>
          <w:lang w:val="ru-RU"/>
        </w:rPr>
      </w:pPr>
      <w:r w:rsidRPr="00230463">
        <w:rPr>
          <w:rFonts w:asciiTheme="minorHAnsi" w:eastAsia="Times New Roman" w:hAnsiTheme="minorHAnsi" w:cstheme="minorHAnsi"/>
          <w:lang w:val="ru-RU"/>
        </w:rPr>
        <w:t xml:space="preserve">В Беларуси ВВП повысится в 2026 году на 1,8%, как и в текущем году, а в дальнейшем развитие экономики ускорится. Сдерживать рост продолжает снижение спроса на белорусскую продукцию из-за замедления экономики ключевого торгового партнёра — России. При этом высокая инвестиционная и потребительская активность поддерживают рост экономики. Инфляция в Беларуси будет находиться около обновленной целевой отметки – 7%. Ее более быстрому замедлению препятствует импорт ценового давления из России и дефицит трудовых ресурсов. Средний курс белорусского рубля в 2026 г. ожидается на уровне 3,32 </w:t>
      </w:r>
      <w:proofErr w:type="spellStart"/>
      <w:r w:rsidRPr="00230463">
        <w:rPr>
          <w:rFonts w:asciiTheme="minorHAnsi" w:eastAsia="Times New Roman" w:hAnsiTheme="minorHAnsi" w:cstheme="minorHAnsi"/>
          <w:lang w:val="ru-RU"/>
        </w:rPr>
        <w:t>бел.руб</w:t>
      </w:r>
      <w:proofErr w:type="spellEnd"/>
      <w:r w:rsidRPr="00230463">
        <w:rPr>
          <w:rFonts w:asciiTheme="minorHAnsi" w:eastAsia="Times New Roman" w:hAnsiTheme="minorHAnsi" w:cstheme="minorHAnsi"/>
          <w:lang w:val="ru-RU"/>
        </w:rPr>
        <w:t>./долл. Умеренное ослабление курса связано с ростом импорта и сокращением экспорта товаров. Сохранения чистой продажи валюты населением поддержит курс.</w:t>
      </w:r>
    </w:p>
    <w:p w14:paraId="0FAA9D80" w14:textId="77777777" w:rsidR="00230463" w:rsidRPr="00230463" w:rsidRDefault="00230463" w:rsidP="00230463">
      <w:pPr>
        <w:spacing w:before="120" w:after="120"/>
        <w:jc w:val="both"/>
        <w:rPr>
          <w:rFonts w:asciiTheme="minorHAnsi" w:eastAsia="Times New Roman" w:hAnsiTheme="minorHAnsi" w:cstheme="minorHAnsi"/>
          <w:lang w:val="ru-RU"/>
        </w:rPr>
      </w:pPr>
      <w:r w:rsidRPr="00230463">
        <w:rPr>
          <w:rFonts w:asciiTheme="minorHAnsi" w:eastAsia="Times New Roman" w:hAnsiTheme="minorHAnsi" w:cstheme="minorHAnsi"/>
          <w:lang w:val="ru-RU"/>
        </w:rPr>
        <w:t xml:space="preserve">Аналитики ЕАБР ожидают сохранение устойчивого роста экономики Казахстана на уровне 5,5% в 2026 года. Реализация Национального инфраструктурного плана и запуск государственной программы «Заказ на инвестиции» смягчат негативное влияние пониженных цен на нефть. Экономику также поддержит наращивание </w:t>
      </w:r>
      <w:proofErr w:type="spellStart"/>
      <w:r w:rsidRPr="00230463">
        <w:rPr>
          <w:rFonts w:asciiTheme="minorHAnsi" w:eastAsia="Times New Roman" w:hAnsiTheme="minorHAnsi" w:cstheme="minorHAnsi"/>
          <w:lang w:val="ru-RU"/>
        </w:rPr>
        <w:t>несырьевого</w:t>
      </w:r>
      <w:proofErr w:type="spellEnd"/>
      <w:r w:rsidRPr="00230463">
        <w:rPr>
          <w:rFonts w:asciiTheme="minorHAnsi" w:eastAsia="Times New Roman" w:hAnsiTheme="minorHAnsi" w:cstheme="minorHAnsi"/>
          <w:lang w:val="ru-RU"/>
        </w:rPr>
        <w:t xml:space="preserve"> экспорта. Умеренно жесткие денежно-кредитные условия обеспечат снижение инфляции до 9,7% на конец 2026 года после пика в начале 2026 года на фоне повышения НДС. Курс тенге в среднем по 2026 году составит 535 тенге/долл. Факторами поддержки обменного курса выступят высокая базовая ставка и рост </w:t>
      </w:r>
      <w:proofErr w:type="spellStart"/>
      <w:r w:rsidRPr="00230463">
        <w:rPr>
          <w:rFonts w:asciiTheme="minorHAnsi" w:eastAsia="Times New Roman" w:hAnsiTheme="minorHAnsi" w:cstheme="minorHAnsi"/>
          <w:lang w:val="ru-RU"/>
        </w:rPr>
        <w:t>несырьевого</w:t>
      </w:r>
      <w:proofErr w:type="spellEnd"/>
      <w:r w:rsidRPr="00230463">
        <w:rPr>
          <w:rFonts w:asciiTheme="minorHAnsi" w:eastAsia="Times New Roman" w:hAnsiTheme="minorHAnsi" w:cstheme="minorHAnsi"/>
          <w:lang w:val="ru-RU"/>
        </w:rPr>
        <w:t xml:space="preserve"> экспорта.</w:t>
      </w:r>
    </w:p>
    <w:p w14:paraId="1F68F53E" w14:textId="77777777" w:rsidR="00230463" w:rsidRPr="00230463" w:rsidRDefault="00230463" w:rsidP="00230463">
      <w:pPr>
        <w:spacing w:before="120" w:after="120"/>
        <w:jc w:val="both"/>
        <w:rPr>
          <w:rFonts w:asciiTheme="minorHAnsi" w:eastAsia="Times New Roman" w:hAnsiTheme="minorHAnsi" w:cstheme="minorHAnsi"/>
          <w:lang w:val="ru-RU"/>
        </w:rPr>
      </w:pPr>
      <w:r w:rsidRPr="00230463">
        <w:rPr>
          <w:rFonts w:asciiTheme="minorHAnsi" w:eastAsia="Times New Roman" w:hAnsiTheme="minorHAnsi" w:cstheme="minorHAnsi"/>
          <w:lang w:val="ru-RU"/>
        </w:rPr>
        <w:t xml:space="preserve">В 2026 году экономика </w:t>
      </w:r>
      <w:proofErr w:type="spellStart"/>
      <w:r w:rsidRPr="00230463">
        <w:rPr>
          <w:rFonts w:asciiTheme="minorHAnsi" w:eastAsia="Times New Roman" w:hAnsiTheme="minorHAnsi" w:cstheme="minorHAnsi"/>
          <w:lang w:val="ru-RU"/>
        </w:rPr>
        <w:t>Кыргызской</w:t>
      </w:r>
      <w:proofErr w:type="spellEnd"/>
      <w:r w:rsidRPr="00230463">
        <w:rPr>
          <w:rFonts w:asciiTheme="minorHAnsi" w:eastAsia="Times New Roman" w:hAnsiTheme="minorHAnsi" w:cstheme="minorHAnsi"/>
          <w:lang w:val="ru-RU"/>
        </w:rPr>
        <w:t xml:space="preserve"> Республики сохранит лидерство в регионе по росту ВВП, который составит около 9,3%. Такая динамика будет сформирована наращиванием инвестиций в транспорт, энергетику, водоснабжение и жилищное строительство. Аналитики ЕАБР ожидают замедления инфляции до 8,3% на конец 2026 года. Более быстрое снижение инфляции будет </w:t>
      </w:r>
      <w:r w:rsidRPr="00230463">
        <w:rPr>
          <w:rFonts w:asciiTheme="minorHAnsi" w:eastAsia="Times New Roman" w:hAnsiTheme="minorHAnsi" w:cstheme="minorHAnsi"/>
          <w:lang w:val="ru-RU"/>
        </w:rPr>
        <w:lastRenderedPageBreak/>
        <w:t>ограничивать рост тарифов и акцизов. Курс сома в среднем по 2026 году ожидается на уровне 89,2, поддержку окажут рост денежных переводов и высокая стоимость золота, ключевого экспортного товара республики.</w:t>
      </w:r>
    </w:p>
    <w:p w14:paraId="189518C7" w14:textId="77777777" w:rsidR="00230463" w:rsidRPr="00230463" w:rsidRDefault="00230463" w:rsidP="00230463">
      <w:pPr>
        <w:spacing w:before="120" w:after="120"/>
        <w:jc w:val="both"/>
        <w:rPr>
          <w:rFonts w:asciiTheme="minorHAnsi" w:eastAsia="Times New Roman" w:hAnsiTheme="minorHAnsi" w:cstheme="minorHAnsi"/>
          <w:lang w:val="ru-RU"/>
        </w:rPr>
      </w:pPr>
      <w:r w:rsidRPr="00230463">
        <w:rPr>
          <w:rFonts w:asciiTheme="minorHAnsi" w:eastAsia="Times New Roman" w:hAnsiTheme="minorHAnsi" w:cstheme="minorHAnsi"/>
          <w:lang w:val="ru-RU"/>
        </w:rPr>
        <w:t>В России в 2026 году аналитики ЕАБР прогнозируют рост экономики на 1,4%. В дальнейшем ожидается возвращение к устойчивым темпам роста ВВП благодаря сохранению бюджетного стимулирования и восстановлению кредитования. Инфляция продолжит снижаться в направлении целевого уровня и составит 5,5% на конец 2026 года. Повышение НДС и дефицит рабочей силы будут удерживать инфляцию выше цели. Согласно прогнозу аналитиков ЕАБР, обменный курс российского рубля ослабнет до 97 руб./долл. на конец 2026 года в условиях пониженных цен на нефть, постепенного снижения ставок и сокращения валютных продаж Банком России.</w:t>
      </w:r>
    </w:p>
    <w:p w14:paraId="2AE4482F" w14:textId="77777777" w:rsidR="00230463" w:rsidRPr="00230463" w:rsidRDefault="00230463" w:rsidP="00230463">
      <w:pPr>
        <w:spacing w:before="120" w:after="120"/>
        <w:jc w:val="both"/>
        <w:rPr>
          <w:rFonts w:asciiTheme="minorHAnsi" w:eastAsia="Times New Roman" w:hAnsiTheme="minorHAnsi" w:cstheme="minorHAnsi"/>
          <w:lang w:val="ru-RU"/>
        </w:rPr>
      </w:pPr>
      <w:r w:rsidRPr="00230463">
        <w:rPr>
          <w:rFonts w:asciiTheme="minorHAnsi" w:eastAsia="Times New Roman" w:hAnsiTheme="minorHAnsi" w:cstheme="minorHAnsi"/>
          <w:lang w:val="ru-RU"/>
        </w:rPr>
        <w:t xml:space="preserve">Экономика Таджикистана сохранит высокие темпы роста ВВП в 2026 г. – около 8,1% согласно прогнозу аналитиков ЕАБР. Основные драйверы — расширение мощностей в энергетике и обрабатывающей промышленности, повышенные цены на золото и цветные металлы. Инфляция повысится до 4,5% г/г к концу 2026 г. и останется в целевом диапазоне, 5±2%. Курс </w:t>
      </w:r>
      <w:proofErr w:type="spellStart"/>
      <w:r w:rsidRPr="00230463">
        <w:rPr>
          <w:rFonts w:asciiTheme="minorHAnsi" w:eastAsia="Times New Roman" w:hAnsiTheme="minorHAnsi" w:cstheme="minorHAnsi"/>
          <w:lang w:val="ru-RU"/>
        </w:rPr>
        <w:t>сомони</w:t>
      </w:r>
      <w:proofErr w:type="spellEnd"/>
      <w:r w:rsidRPr="00230463">
        <w:rPr>
          <w:rFonts w:asciiTheme="minorHAnsi" w:eastAsia="Times New Roman" w:hAnsiTheme="minorHAnsi" w:cstheme="minorHAnsi"/>
          <w:lang w:val="ru-RU"/>
        </w:rPr>
        <w:t xml:space="preserve"> будет стабильным благодаря увеличению экспорта и денежных переводов трудовых мигрантов. средний курс </w:t>
      </w:r>
      <w:proofErr w:type="spellStart"/>
      <w:r w:rsidRPr="00230463">
        <w:rPr>
          <w:rFonts w:asciiTheme="minorHAnsi" w:eastAsia="Times New Roman" w:hAnsiTheme="minorHAnsi" w:cstheme="minorHAnsi"/>
          <w:lang w:val="ru-RU"/>
        </w:rPr>
        <w:t>сомони</w:t>
      </w:r>
      <w:proofErr w:type="spellEnd"/>
      <w:r w:rsidRPr="00230463">
        <w:rPr>
          <w:rFonts w:asciiTheme="minorHAnsi" w:eastAsia="Times New Roman" w:hAnsiTheme="minorHAnsi" w:cstheme="minorHAnsi"/>
          <w:lang w:val="ru-RU"/>
        </w:rPr>
        <w:t xml:space="preserve"> в 2026 г. ожидается примерно на уровне 9,8 </w:t>
      </w:r>
      <w:proofErr w:type="spellStart"/>
      <w:r w:rsidRPr="00230463">
        <w:rPr>
          <w:rFonts w:asciiTheme="minorHAnsi" w:eastAsia="Times New Roman" w:hAnsiTheme="minorHAnsi" w:cstheme="minorHAnsi"/>
          <w:lang w:val="ru-RU"/>
        </w:rPr>
        <w:t>сомони</w:t>
      </w:r>
      <w:proofErr w:type="spellEnd"/>
      <w:r w:rsidRPr="00230463">
        <w:rPr>
          <w:rFonts w:asciiTheme="minorHAnsi" w:eastAsia="Times New Roman" w:hAnsiTheme="minorHAnsi" w:cstheme="minorHAnsi"/>
          <w:lang w:val="ru-RU"/>
        </w:rPr>
        <w:t>/долл.</w:t>
      </w:r>
    </w:p>
    <w:p w14:paraId="060A4D97" w14:textId="12B20E44" w:rsidR="00790600" w:rsidRPr="00230463" w:rsidRDefault="00230463" w:rsidP="00230463">
      <w:pPr>
        <w:spacing w:before="120" w:after="120"/>
        <w:jc w:val="both"/>
        <w:rPr>
          <w:rFonts w:asciiTheme="minorHAnsi" w:eastAsia="Times New Roman" w:hAnsiTheme="minorHAnsi" w:cstheme="minorHAnsi"/>
          <w:lang w:val="ru-RU"/>
        </w:rPr>
      </w:pPr>
      <w:r w:rsidRPr="00230463">
        <w:rPr>
          <w:rFonts w:asciiTheme="minorHAnsi" w:eastAsia="Times New Roman" w:hAnsiTheme="minorHAnsi" w:cstheme="minorHAnsi"/>
          <w:lang w:val="ru-RU"/>
        </w:rPr>
        <w:t xml:space="preserve">Аналитики ЕАБР ожидают, что экономика Узбекистана продолжит расти устойчиво высокими темпами — около 6,8% в 2026 году. Рост обеспечат высокие инвестиции и благоприятные цены на золото. Инфляция продолжит снижаться в направлении цели ЦБ РУ и может замедлиться до 6,7% на конец 2026 г. Этому будут способствовать относительно жесткие денежно-кредитные условия и стабильность курса сума —примерно 12 800 </w:t>
      </w:r>
      <w:proofErr w:type="spellStart"/>
      <w:r w:rsidRPr="00230463">
        <w:rPr>
          <w:rFonts w:asciiTheme="minorHAnsi" w:eastAsia="Times New Roman" w:hAnsiTheme="minorHAnsi" w:cstheme="minorHAnsi"/>
          <w:lang w:val="ru-RU"/>
        </w:rPr>
        <w:t>сумов</w:t>
      </w:r>
      <w:proofErr w:type="spellEnd"/>
      <w:r w:rsidRPr="00230463">
        <w:rPr>
          <w:rFonts w:asciiTheme="minorHAnsi" w:eastAsia="Times New Roman" w:hAnsiTheme="minorHAnsi" w:cstheme="minorHAnsi"/>
          <w:lang w:val="ru-RU"/>
        </w:rPr>
        <w:t xml:space="preserve"> за доллар в среднем за год. Поддержку национальной валюте окажут сохранение высокого уровня денежных переводов и рост экспорта металлов на фоне благоприятной ценовой конъюнктуры.</w:t>
      </w:r>
    </w:p>
    <w:sectPr w:rsidR="00790600" w:rsidRPr="00230463" w:rsidSect="00322AB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3258"/>
    <w:multiLevelType w:val="multilevel"/>
    <w:tmpl w:val="44FC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80E2F"/>
    <w:multiLevelType w:val="hybridMultilevel"/>
    <w:tmpl w:val="8B129670"/>
    <w:lvl w:ilvl="0" w:tplc="12E4F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ECB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D40B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01C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27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A44E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AC9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88F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C6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D38F1"/>
    <w:multiLevelType w:val="hybridMultilevel"/>
    <w:tmpl w:val="7DB27DFA"/>
    <w:lvl w:ilvl="0" w:tplc="1D523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761B74" w:tentative="1">
      <w:start w:val="1"/>
      <w:numFmt w:val="lowerLetter"/>
      <w:lvlText w:val="%2."/>
      <w:lvlJc w:val="left"/>
      <w:pPr>
        <w:ind w:left="1440" w:hanging="360"/>
      </w:pPr>
    </w:lvl>
    <w:lvl w:ilvl="2" w:tplc="A69E7E1C" w:tentative="1">
      <w:start w:val="1"/>
      <w:numFmt w:val="lowerRoman"/>
      <w:lvlText w:val="%3."/>
      <w:lvlJc w:val="right"/>
      <w:pPr>
        <w:ind w:left="2160" w:hanging="180"/>
      </w:pPr>
    </w:lvl>
    <w:lvl w:ilvl="3" w:tplc="6714C4CC" w:tentative="1">
      <w:start w:val="1"/>
      <w:numFmt w:val="decimal"/>
      <w:lvlText w:val="%4."/>
      <w:lvlJc w:val="left"/>
      <w:pPr>
        <w:ind w:left="2880" w:hanging="360"/>
      </w:pPr>
    </w:lvl>
    <w:lvl w:ilvl="4" w:tplc="4594A670" w:tentative="1">
      <w:start w:val="1"/>
      <w:numFmt w:val="lowerLetter"/>
      <w:lvlText w:val="%5."/>
      <w:lvlJc w:val="left"/>
      <w:pPr>
        <w:ind w:left="3600" w:hanging="360"/>
      </w:pPr>
    </w:lvl>
    <w:lvl w:ilvl="5" w:tplc="B0903B26" w:tentative="1">
      <w:start w:val="1"/>
      <w:numFmt w:val="lowerRoman"/>
      <w:lvlText w:val="%6."/>
      <w:lvlJc w:val="right"/>
      <w:pPr>
        <w:ind w:left="4320" w:hanging="180"/>
      </w:pPr>
    </w:lvl>
    <w:lvl w:ilvl="6" w:tplc="76086A70" w:tentative="1">
      <w:start w:val="1"/>
      <w:numFmt w:val="decimal"/>
      <w:lvlText w:val="%7."/>
      <w:lvlJc w:val="left"/>
      <w:pPr>
        <w:ind w:left="5040" w:hanging="360"/>
      </w:pPr>
    </w:lvl>
    <w:lvl w:ilvl="7" w:tplc="ACEECE2E" w:tentative="1">
      <w:start w:val="1"/>
      <w:numFmt w:val="lowerLetter"/>
      <w:lvlText w:val="%8."/>
      <w:lvlJc w:val="left"/>
      <w:pPr>
        <w:ind w:left="5760" w:hanging="360"/>
      </w:pPr>
    </w:lvl>
    <w:lvl w:ilvl="8" w:tplc="4202AD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270"/>
    <w:multiLevelType w:val="hybridMultilevel"/>
    <w:tmpl w:val="0A48DB56"/>
    <w:lvl w:ilvl="0" w:tplc="7A42D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4C2880" w:tentative="1">
      <w:start w:val="1"/>
      <w:numFmt w:val="lowerLetter"/>
      <w:lvlText w:val="%2."/>
      <w:lvlJc w:val="left"/>
      <w:pPr>
        <w:ind w:left="1440" w:hanging="360"/>
      </w:pPr>
    </w:lvl>
    <w:lvl w:ilvl="2" w:tplc="0F84A718" w:tentative="1">
      <w:start w:val="1"/>
      <w:numFmt w:val="lowerRoman"/>
      <w:lvlText w:val="%3."/>
      <w:lvlJc w:val="right"/>
      <w:pPr>
        <w:ind w:left="2160" w:hanging="180"/>
      </w:pPr>
    </w:lvl>
    <w:lvl w:ilvl="3" w:tplc="CA4C62BA" w:tentative="1">
      <w:start w:val="1"/>
      <w:numFmt w:val="decimal"/>
      <w:lvlText w:val="%4."/>
      <w:lvlJc w:val="left"/>
      <w:pPr>
        <w:ind w:left="2880" w:hanging="360"/>
      </w:pPr>
    </w:lvl>
    <w:lvl w:ilvl="4" w:tplc="E4CE57A8" w:tentative="1">
      <w:start w:val="1"/>
      <w:numFmt w:val="lowerLetter"/>
      <w:lvlText w:val="%5."/>
      <w:lvlJc w:val="left"/>
      <w:pPr>
        <w:ind w:left="3600" w:hanging="360"/>
      </w:pPr>
    </w:lvl>
    <w:lvl w:ilvl="5" w:tplc="5E425E64" w:tentative="1">
      <w:start w:val="1"/>
      <w:numFmt w:val="lowerRoman"/>
      <w:lvlText w:val="%6."/>
      <w:lvlJc w:val="right"/>
      <w:pPr>
        <w:ind w:left="4320" w:hanging="180"/>
      </w:pPr>
    </w:lvl>
    <w:lvl w:ilvl="6" w:tplc="817011C2" w:tentative="1">
      <w:start w:val="1"/>
      <w:numFmt w:val="decimal"/>
      <w:lvlText w:val="%7."/>
      <w:lvlJc w:val="left"/>
      <w:pPr>
        <w:ind w:left="5040" w:hanging="360"/>
      </w:pPr>
    </w:lvl>
    <w:lvl w:ilvl="7" w:tplc="A76425AA" w:tentative="1">
      <w:start w:val="1"/>
      <w:numFmt w:val="lowerLetter"/>
      <w:lvlText w:val="%8."/>
      <w:lvlJc w:val="left"/>
      <w:pPr>
        <w:ind w:left="5760" w:hanging="360"/>
      </w:pPr>
    </w:lvl>
    <w:lvl w:ilvl="8" w:tplc="5D981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C543E"/>
    <w:multiLevelType w:val="multilevel"/>
    <w:tmpl w:val="4CF6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7E0949"/>
    <w:multiLevelType w:val="hybridMultilevel"/>
    <w:tmpl w:val="B3C63EEC"/>
    <w:lvl w:ilvl="0" w:tplc="055A85E2">
      <w:start w:val="1"/>
      <w:numFmt w:val="decimal"/>
      <w:lvlText w:val="%1."/>
      <w:lvlJc w:val="left"/>
    </w:lvl>
    <w:lvl w:ilvl="1" w:tplc="B7A4A7D6" w:tentative="1">
      <w:start w:val="1"/>
      <w:numFmt w:val="lowerLetter"/>
      <w:lvlText w:val="%2."/>
      <w:lvlJc w:val="left"/>
      <w:pPr>
        <w:ind w:left="1440" w:hanging="360"/>
      </w:pPr>
    </w:lvl>
    <w:lvl w:ilvl="2" w:tplc="543CF84A" w:tentative="1">
      <w:start w:val="1"/>
      <w:numFmt w:val="lowerRoman"/>
      <w:lvlText w:val="%3."/>
      <w:lvlJc w:val="right"/>
      <w:pPr>
        <w:ind w:left="2160" w:hanging="180"/>
      </w:pPr>
    </w:lvl>
    <w:lvl w:ilvl="3" w:tplc="C74E9126" w:tentative="1">
      <w:start w:val="1"/>
      <w:numFmt w:val="decimal"/>
      <w:lvlText w:val="%4."/>
      <w:lvlJc w:val="left"/>
      <w:pPr>
        <w:ind w:left="2880" w:hanging="360"/>
      </w:pPr>
    </w:lvl>
    <w:lvl w:ilvl="4" w:tplc="DC928FAE" w:tentative="1">
      <w:start w:val="1"/>
      <w:numFmt w:val="lowerLetter"/>
      <w:lvlText w:val="%5."/>
      <w:lvlJc w:val="left"/>
      <w:pPr>
        <w:ind w:left="3600" w:hanging="360"/>
      </w:pPr>
    </w:lvl>
    <w:lvl w:ilvl="5" w:tplc="B1045A8C" w:tentative="1">
      <w:start w:val="1"/>
      <w:numFmt w:val="lowerRoman"/>
      <w:lvlText w:val="%6."/>
      <w:lvlJc w:val="right"/>
      <w:pPr>
        <w:ind w:left="4320" w:hanging="180"/>
      </w:pPr>
    </w:lvl>
    <w:lvl w:ilvl="6" w:tplc="0D2CC1CC" w:tentative="1">
      <w:start w:val="1"/>
      <w:numFmt w:val="decimal"/>
      <w:lvlText w:val="%7."/>
      <w:lvlJc w:val="left"/>
      <w:pPr>
        <w:ind w:left="5040" w:hanging="360"/>
      </w:pPr>
    </w:lvl>
    <w:lvl w:ilvl="7" w:tplc="6AA4B5A6" w:tentative="1">
      <w:start w:val="1"/>
      <w:numFmt w:val="lowerLetter"/>
      <w:lvlText w:val="%8."/>
      <w:lvlJc w:val="left"/>
      <w:pPr>
        <w:ind w:left="5760" w:hanging="360"/>
      </w:pPr>
    </w:lvl>
    <w:lvl w:ilvl="8" w:tplc="5A34E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20D10"/>
    <w:multiLevelType w:val="hybridMultilevel"/>
    <w:tmpl w:val="8AFC4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40A6D"/>
    <w:multiLevelType w:val="hybridMultilevel"/>
    <w:tmpl w:val="9008F47C"/>
    <w:lvl w:ilvl="0" w:tplc="35D47F50">
      <w:numFmt w:val="bullet"/>
      <w:lvlText w:val="•"/>
      <w:lvlJc w:val="left"/>
      <w:pPr>
        <w:ind w:left="360" w:firstLine="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0455D"/>
    <w:multiLevelType w:val="hybridMultilevel"/>
    <w:tmpl w:val="6CE6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E008D"/>
    <w:multiLevelType w:val="hybridMultilevel"/>
    <w:tmpl w:val="BAAE3470"/>
    <w:lvl w:ilvl="0" w:tplc="CD42EB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A44362" w:tentative="1">
      <w:start w:val="1"/>
      <w:numFmt w:val="lowerLetter"/>
      <w:lvlText w:val="%2."/>
      <w:lvlJc w:val="left"/>
      <w:pPr>
        <w:ind w:left="1440" w:hanging="360"/>
      </w:pPr>
    </w:lvl>
    <w:lvl w:ilvl="2" w:tplc="904E776E" w:tentative="1">
      <w:start w:val="1"/>
      <w:numFmt w:val="lowerRoman"/>
      <w:lvlText w:val="%3."/>
      <w:lvlJc w:val="right"/>
      <w:pPr>
        <w:ind w:left="2160" w:hanging="180"/>
      </w:pPr>
    </w:lvl>
    <w:lvl w:ilvl="3" w:tplc="28827A30" w:tentative="1">
      <w:start w:val="1"/>
      <w:numFmt w:val="decimal"/>
      <w:lvlText w:val="%4."/>
      <w:lvlJc w:val="left"/>
      <w:pPr>
        <w:ind w:left="2880" w:hanging="360"/>
      </w:pPr>
    </w:lvl>
    <w:lvl w:ilvl="4" w:tplc="1DAE20B6" w:tentative="1">
      <w:start w:val="1"/>
      <w:numFmt w:val="lowerLetter"/>
      <w:lvlText w:val="%5."/>
      <w:lvlJc w:val="left"/>
      <w:pPr>
        <w:ind w:left="3600" w:hanging="360"/>
      </w:pPr>
    </w:lvl>
    <w:lvl w:ilvl="5" w:tplc="6C185D84" w:tentative="1">
      <w:start w:val="1"/>
      <w:numFmt w:val="lowerRoman"/>
      <w:lvlText w:val="%6."/>
      <w:lvlJc w:val="right"/>
      <w:pPr>
        <w:ind w:left="4320" w:hanging="180"/>
      </w:pPr>
    </w:lvl>
    <w:lvl w:ilvl="6" w:tplc="0E204FA0" w:tentative="1">
      <w:start w:val="1"/>
      <w:numFmt w:val="decimal"/>
      <w:lvlText w:val="%7."/>
      <w:lvlJc w:val="left"/>
      <w:pPr>
        <w:ind w:left="5040" w:hanging="360"/>
      </w:pPr>
    </w:lvl>
    <w:lvl w:ilvl="7" w:tplc="07BE5A56" w:tentative="1">
      <w:start w:val="1"/>
      <w:numFmt w:val="lowerLetter"/>
      <w:lvlText w:val="%8."/>
      <w:lvlJc w:val="left"/>
      <w:pPr>
        <w:ind w:left="5760" w:hanging="360"/>
      </w:pPr>
    </w:lvl>
    <w:lvl w:ilvl="8" w:tplc="0B7C0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9335A"/>
    <w:multiLevelType w:val="multilevel"/>
    <w:tmpl w:val="65B08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B66049"/>
    <w:multiLevelType w:val="hybridMultilevel"/>
    <w:tmpl w:val="3640B216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0A4057E"/>
    <w:multiLevelType w:val="multilevel"/>
    <w:tmpl w:val="C048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02648D"/>
    <w:multiLevelType w:val="hybridMultilevel"/>
    <w:tmpl w:val="6A6A0268"/>
    <w:lvl w:ilvl="0" w:tplc="9ECA4EEE">
      <w:numFmt w:val="bullet"/>
      <w:lvlText w:val=""/>
      <w:lvlJc w:val="left"/>
      <w:pPr>
        <w:ind w:left="360" w:firstLine="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60F8E"/>
    <w:multiLevelType w:val="hybridMultilevel"/>
    <w:tmpl w:val="EF0EB32A"/>
    <w:lvl w:ilvl="0" w:tplc="E83CD8B2">
      <w:start w:val="1"/>
      <w:numFmt w:val="decimal"/>
      <w:lvlText w:val="%1."/>
      <w:lvlJc w:val="left"/>
      <w:pPr>
        <w:ind w:left="720" w:hanging="360"/>
      </w:pPr>
    </w:lvl>
    <w:lvl w:ilvl="1" w:tplc="C624DBAA" w:tentative="1">
      <w:start w:val="1"/>
      <w:numFmt w:val="lowerLetter"/>
      <w:lvlText w:val="%2."/>
      <w:lvlJc w:val="left"/>
      <w:pPr>
        <w:ind w:left="1440" w:hanging="360"/>
      </w:pPr>
    </w:lvl>
    <w:lvl w:ilvl="2" w:tplc="AC6661F6" w:tentative="1">
      <w:start w:val="1"/>
      <w:numFmt w:val="lowerRoman"/>
      <w:lvlText w:val="%3."/>
      <w:lvlJc w:val="right"/>
      <w:pPr>
        <w:ind w:left="2160" w:hanging="180"/>
      </w:pPr>
    </w:lvl>
    <w:lvl w:ilvl="3" w:tplc="9CC84FA6" w:tentative="1">
      <w:start w:val="1"/>
      <w:numFmt w:val="decimal"/>
      <w:lvlText w:val="%4."/>
      <w:lvlJc w:val="left"/>
      <w:pPr>
        <w:ind w:left="2880" w:hanging="360"/>
      </w:pPr>
    </w:lvl>
    <w:lvl w:ilvl="4" w:tplc="1CBA4CEA" w:tentative="1">
      <w:start w:val="1"/>
      <w:numFmt w:val="lowerLetter"/>
      <w:lvlText w:val="%5."/>
      <w:lvlJc w:val="left"/>
      <w:pPr>
        <w:ind w:left="3600" w:hanging="360"/>
      </w:pPr>
    </w:lvl>
    <w:lvl w:ilvl="5" w:tplc="2F6EF9E4" w:tentative="1">
      <w:start w:val="1"/>
      <w:numFmt w:val="lowerRoman"/>
      <w:lvlText w:val="%6."/>
      <w:lvlJc w:val="right"/>
      <w:pPr>
        <w:ind w:left="4320" w:hanging="180"/>
      </w:pPr>
    </w:lvl>
    <w:lvl w:ilvl="6" w:tplc="39C0D25E" w:tentative="1">
      <w:start w:val="1"/>
      <w:numFmt w:val="decimal"/>
      <w:lvlText w:val="%7."/>
      <w:lvlJc w:val="left"/>
      <w:pPr>
        <w:ind w:left="5040" w:hanging="360"/>
      </w:pPr>
    </w:lvl>
    <w:lvl w:ilvl="7" w:tplc="18082E50" w:tentative="1">
      <w:start w:val="1"/>
      <w:numFmt w:val="lowerLetter"/>
      <w:lvlText w:val="%8."/>
      <w:lvlJc w:val="left"/>
      <w:pPr>
        <w:ind w:left="5760" w:hanging="360"/>
      </w:pPr>
    </w:lvl>
    <w:lvl w:ilvl="8" w:tplc="1F3232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9631F"/>
    <w:multiLevelType w:val="hybridMultilevel"/>
    <w:tmpl w:val="CD40B640"/>
    <w:lvl w:ilvl="0" w:tplc="D97E71FC">
      <w:start w:val="1"/>
      <w:numFmt w:val="decimal"/>
      <w:lvlText w:val="%1."/>
      <w:lvlJc w:val="left"/>
      <w:pPr>
        <w:ind w:left="360" w:hanging="360"/>
      </w:pPr>
    </w:lvl>
    <w:lvl w:ilvl="1" w:tplc="717E5AAE" w:tentative="1">
      <w:start w:val="1"/>
      <w:numFmt w:val="lowerLetter"/>
      <w:lvlText w:val="%2."/>
      <w:lvlJc w:val="left"/>
      <w:pPr>
        <w:ind w:left="1440" w:hanging="360"/>
      </w:pPr>
    </w:lvl>
    <w:lvl w:ilvl="2" w:tplc="56A4417E" w:tentative="1">
      <w:start w:val="1"/>
      <w:numFmt w:val="lowerRoman"/>
      <w:lvlText w:val="%3."/>
      <w:lvlJc w:val="right"/>
      <w:pPr>
        <w:ind w:left="2160" w:hanging="180"/>
      </w:pPr>
    </w:lvl>
    <w:lvl w:ilvl="3" w:tplc="E8D0F2DA" w:tentative="1">
      <w:start w:val="1"/>
      <w:numFmt w:val="decimal"/>
      <w:lvlText w:val="%4."/>
      <w:lvlJc w:val="left"/>
      <w:pPr>
        <w:ind w:left="2880" w:hanging="360"/>
      </w:pPr>
    </w:lvl>
    <w:lvl w:ilvl="4" w:tplc="422CE9D8" w:tentative="1">
      <w:start w:val="1"/>
      <w:numFmt w:val="lowerLetter"/>
      <w:lvlText w:val="%5."/>
      <w:lvlJc w:val="left"/>
      <w:pPr>
        <w:ind w:left="3600" w:hanging="360"/>
      </w:pPr>
    </w:lvl>
    <w:lvl w:ilvl="5" w:tplc="B5003546" w:tentative="1">
      <w:start w:val="1"/>
      <w:numFmt w:val="lowerRoman"/>
      <w:lvlText w:val="%6."/>
      <w:lvlJc w:val="right"/>
      <w:pPr>
        <w:ind w:left="4320" w:hanging="180"/>
      </w:pPr>
    </w:lvl>
    <w:lvl w:ilvl="6" w:tplc="34F40642" w:tentative="1">
      <w:start w:val="1"/>
      <w:numFmt w:val="decimal"/>
      <w:lvlText w:val="%7."/>
      <w:lvlJc w:val="left"/>
      <w:pPr>
        <w:ind w:left="5040" w:hanging="360"/>
      </w:pPr>
    </w:lvl>
    <w:lvl w:ilvl="7" w:tplc="516CECAE" w:tentative="1">
      <w:start w:val="1"/>
      <w:numFmt w:val="lowerLetter"/>
      <w:lvlText w:val="%8."/>
      <w:lvlJc w:val="left"/>
      <w:pPr>
        <w:ind w:left="5760" w:hanging="360"/>
      </w:pPr>
    </w:lvl>
    <w:lvl w:ilvl="8" w:tplc="806C289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5"/>
  </w:num>
  <w:num w:numId="4">
    <w:abstractNumId w:val="4"/>
  </w:num>
  <w:num w:numId="5">
    <w:abstractNumId w:val="5"/>
  </w:num>
  <w:num w:numId="6">
    <w:abstractNumId w:val="9"/>
  </w:num>
  <w:num w:numId="7">
    <w:abstractNumId w:val="14"/>
  </w:num>
  <w:num w:numId="8">
    <w:abstractNumId w:val="3"/>
  </w:num>
  <w:num w:numId="9">
    <w:abstractNumId w:val="6"/>
  </w:num>
  <w:num w:numId="10">
    <w:abstractNumId w:val="12"/>
  </w:num>
  <w:num w:numId="11">
    <w:abstractNumId w:val="0"/>
  </w:num>
  <w:num w:numId="12">
    <w:abstractNumId w:val="10"/>
  </w:num>
  <w:num w:numId="13">
    <w:abstractNumId w:val="11"/>
  </w:num>
  <w:num w:numId="14">
    <w:abstractNumId w:val="13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E9"/>
    <w:rsid w:val="000153FF"/>
    <w:rsid w:val="000241FD"/>
    <w:rsid w:val="000359E3"/>
    <w:rsid w:val="00036450"/>
    <w:rsid w:val="000407FB"/>
    <w:rsid w:val="00045852"/>
    <w:rsid w:val="00045A2C"/>
    <w:rsid w:val="00061E79"/>
    <w:rsid w:val="000770D0"/>
    <w:rsid w:val="00082CEE"/>
    <w:rsid w:val="000B5362"/>
    <w:rsid w:val="000B7D1D"/>
    <w:rsid w:val="000B7E28"/>
    <w:rsid w:val="000D5002"/>
    <w:rsid w:val="000E252A"/>
    <w:rsid w:val="000E7A6B"/>
    <w:rsid w:val="000F220D"/>
    <w:rsid w:val="000F3630"/>
    <w:rsid w:val="001068B5"/>
    <w:rsid w:val="001466E1"/>
    <w:rsid w:val="00147F3A"/>
    <w:rsid w:val="00151196"/>
    <w:rsid w:val="001650ED"/>
    <w:rsid w:val="00175B5F"/>
    <w:rsid w:val="00184B76"/>
    <w:rsid w:val="00190BD6"/>
    <w:rsid w:val="001C730C"/>
    <w:rsid w:val="001D01B3"/>
    <w:rsid w:val="001D12B8"/>
    <w:rsid w:val="001E25CC"/>
    <w:rsid w:val="002065ED"/>
    <w:rsid w:val="00213031"/>
    <w:rsid w:val="00230463"/>
    <w:rsid w:val="00247A3C"/>
    <w:rsid w:val="00264057"/>
    <w:rsid w:val="002A50B8"/>
    <w:rsid w:val="002B37AA"/>
    <w:rsid w:val="002C1D91"/>
    <w:rsid w:val="002E0C10"/>
    <w:rsid w:val="0032279B"/>
    <w:rsid w:val="00322ABB"/>
    <w:rsid w:val="0033337A"/>
    <w:rsid w:val="0033607F"/>
    <w:rsid w:val="0033780C"/>
    <w:rsid w:val="00347B26"/>
    <w:rsid w:val="00352773"/>
    <w:rsid w:val="00363B8F"/>
    <w:rsid w:val="00365374"/>
    <w:rsid w:val="00381883"/>
    <w:rsid w:val="003902DE"/>
    <w:rsid w:val="00392136"/>
    <w:rsid w:val="003A3D89"/>
    <w:rsid w:val="003A459A"/>
    <w:rsid w:val="003D2D7A"/>
    <w:rsid w:val="003E079B"/>
    <w:rsid w:val="003E60F0"/>
    <w:rsid w:val="003F1824"/>
    <w:rsid w:val="003F457A"/>
    <w:rsid w:val="00411CCB"/>
    <w:rsid w:val="00425F22"/>
    <w:rsid w:val="0044425C"/>
    <w:rsid w:val="00452F2F"/>
    <w:rsid w:val="00460046"/>
    <w:rsid w:val="00467E76"/>
    <w:rsid w:val="00477CDC"/>
    <w:rsid w:val="004A1C84"/>
    <w:rsid w:val="004B610B"/>
    <w:rsid w:val="004B7E60"/>
    <w:rsid w:val="004E1D81"/>
    <w:rsid w:val="004F1978"/>
    <w:rsid w:val="00505BE0"/>
    <w:rsid w:val="00507285"/>
    <w:rsid w:val="00511CBC"/>
    <w:rsid w:val="00526819"/>
    <w:rsid w:val="00533E1A"/>
    <w:rsid w:val="00547000"/>
    <w:rsid w:val="00547196"/>
    <w:rsid w:val="00557A1D"/>
    <w:rsid w:val="00570B03"/>
    <w:rsid w:val="00590CFC"/>
    <w:rsid w:val="00592E96"/>
    <w:rsid w:val="005E1089"/>
    <w:rsid w:val="005E3305"/>
    <w:rsid w:val="005F73A2"/>
    <w:rsid w:val="00613857"/>
    <w:rsid w:val="00614B3C"/>
    <w:rsid w:val="006218C8"/>
    <w:rsid w:val="0063200C"/>
    <w:rsid w:val="00641ACE"/>
    <w:rsid w:val="0065182B"/>
    <w:rsid w:val="00653C8C"/>
    <w:rsid w:val="00660BE4"/>
    <w:rsid w:val="00682608"/>
    <w:rsid w:val="00693FB0"/>
    <w:rsid w:val="006A3467"/>
    <w:rsid w:val="006A5EBB"/>
    <w:rsid w:val="006C0402"/>
    <w:rsid w:val="006C05E2"/>
    <w:rsid w:val="006C2D8D"/>
    <w:rsid w:val="006D2270"/>
    <w:rsid w:val="006D3649"/>
    <w:rsid w:val="006F5D2B"/>
    <w:rsid w:val="00701994"/>
    <w:rsid w:val="0070533E"/>
    <w:rsid w:val="00734A9B"/>
    <w:rsid w:val="00790600"/>
    <w:rsid w:val="007955E4"/>
    <w:rsid w:val="00796ED9"/>
    <w:rsid w:val="00797417"/>
    <w:rsid w:val="007C0A60"/>
    <w:rsid w:val="007C2297"/>
    <w:rsid w:val="007F0B36"/>
    <w:rsid w:val="007F1E3A"/>
    <w:rsid w:val="00826FE5"/>
    <w:rsid w:val="008434CF"/>
    <w:rsid w:val="008912F8"/>
    <w:rsid w:val="008B1AFB"/>
    <w:rsid w:val="008D0AAA"/>
    <w:rsid w:val="008D6302"/>
    <w:rsid w:val="008E0352"/>
    <w:rsid w:val="00903A91"/>
    <w:rsid w:val="00905C6D"/>
    <w:rsid w:val="0092781A"/>
    <w:rsid w:val="009460F2"/>
    <w:rsid w:val="00973D3C"/>
    <w:rsid w:val="00987382"/>
    <w:rsid w:val="009959BB"/>
    <w:rsid w:val="009A582E"/>
    <w:rsid w:val="009B4F90"/>
    <w:rsid w:val="009C314B"/>
    <w:rsid w:val="009F3771"/>
    <w:rsid w:val="00A536E1"/>
    <w:rsid w:val="00A72391"/>
    <w:rsid w:val="00AC4C1B"/>
    <w:rsid w:val="00AC4FE9"/>
    <w:rsid w:val="00B050BC"/>
    <w:rsid w:val="00B169DE"/>
    <w:rsid w:val="00B23B8A"/>
    <w:rsid w:val="00B33C27"/>
    <w:rsid w:val="00B37C3C"/>
    <w:rsid w:val="00B601BD"/>
    <w:rsid w:val="00B70018"/>
    <w:rsid w:val="00B9290F"/>
    <w:rsid w:val="00B93E67"/>
    <w:rsid w:val="00B94BE5"/>
    <w:rsid w:val="00BA559E"/>
    <w:rsid w:val="00BC1C31"/>
    <w:rsid w:val="00BD6509"/>
    <w:rsid w:val="00BE345A"/>
    <w:rsid w:val="00BF21B5"/>
    <w:rsid w:val="00C3568D"/>
    <w:rsid w:val="00C66F88"/>
    <w:rsid w:val="00CB64DB"/>
    <w:rsid w:val="00CD221B"/>
    <w:rsid w:val="00CE188F"/>
    <w:rsid w:val="00CE333B"/>
    <w:rsid w:val="00CF10D1"/>
    <w:rsid w:val="00D14FF1"/>
    <w:rsid w:val="00D33096"/>
    <w:rsid w:val="00D46C2D"/>
    <w:rsid w:val="00D63DD1"/>
    <w:rsid w:val="00D64958"/>
    <w:rsid w:val="00D93C5E"/>
    <w:rsid w:val="00D95DE3"/>
    <w:rsid w:val="00D97D38"/>
    <w:rsid w:val="00DC52D3"/>
    <w:rsid w:val="00DD465D"/>
    <w:rsid w:val="00DE1539"/>
    <w:rsid w:val="00E12FC0"/>
    <w:rsid w:val="00E26D81"/>
    <w:rsid w:val="00E4678E"/>
    <w:rsid w:val="00E500ED"/>
    <w:rsid w:val="00E5532A"/>
    <w:rsid w:val="00E612D0"/>
    <w:rsid w:val="00E86F9C"/>
    <w:rsid w:val="00E970BE"/>
    <w:rsid w:val="00EA490B"/>
    <w:rsid w:val="00ED77DA"/>
    <w:rsid w:val="00EF6AB2"/>
    <w:rsid w:val="00F03F0A"/>
    <w:rsid w:val="00F13242"/>
    <w:rsid w:val="00F34239"/>
    <w:rsid w:val="00F35FA6"/>
    <w:rsid w:val="00F408E0"/>
    <w:rsid w:val="00F77530"/>
    <w:rsid w:val="00F934FD"/>
    <w:rsid w:val="00F947F1"/>
    <w:rsid w:val="00FA2967"/>
    <w:rsid w:val="00FC20B0"/>
    <w:rsid w:val="00FD22A8"/>
    <w:rsid w:val="00FE0B33"/>
    <w:rsid w:val="00FF0703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6565"/>
  <w15:chartTrackingRefBased/>
  <w15:docId w15:val="{45308E60-C5E0-40B2-B8A1-7FA21E77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E79"/>
    <w:pPr>
      <w:spacing w:after="0" w:line="240" w:lineRule="auto"/>
    </w:pPr>
    <w:rPr>
      <w:rFonts w:ascii="Calibri" w:hAnsi="Calibri" w:cs="Calibri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304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1E79"/>
    <w:rPr>
      <w:color w:val="0563C1"/>
      <w:u w:val="single"/>
    </w:rPr>
  </w:style>
  <w:style w:type="paragraph" w:customStyle="1" w:styleId="newsdate">
    <w:name w:val="news__date"/>
    <w:basedOn w:val="a"/>
    <w:rsid w:val="00061E7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ЕФСР_текст Знак"/>
    <w:basedOn w:val="a0"/>
    <w:link w:val="a5"/>
    <w:uiPriority w:val="1"/>
    <w:locked/>
    <w:rsid w:val="00061E79"/>
    <w:rPr>
      <w:rFonts w:ascii="Arial" w:hAnsi="Arial" w:cs="Arial"/>
      <w:lang w:eastAsia="ru-RU"/>
    </w:rPr>
  </w:style>
  <w:style w:type="paragraph" w:customStyle="1" w:styleId="a5">
    <w:name w:val="ЕФСР_текст"/>
    <w:basedOn w:val="a"/>
    <w:link w:val="a4"/>
    <w:uiPriority w:val="1"/>
    <w:qFormat/>
    <w:rsid w:val="00061E79"/>
    <w:pPr>
      <w:autoSpaceDE w:val="0"/>
      <w:autoSpaceDN w:val="0"/>
      <w:spacing w:before="240"/>
      <w:ind w:left="194" w:right="-8" w:firstLine="2"/>
      <w:jc w:val="both"/>
    </w:pPr>
    <w:rPr>
      <w:rFonts w:ascii="Arial" w:hAnsi="Arial" w:cs="Arial"/>
      <w:lang w:val="ru-RU"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614B3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14B3C"/>
    <w:rPr>
      <w:rFonts w:ascii="Calibri" w:hAnsi="Calibri" w:cs="Calibri"/>
      <w:sz w:val="20"/>
      <w:szCs w:val="20"/>
      <w:lang w:val="en-US"/>
    </w:rPr>
  </w:style>
  <w:style w:type="character" w:styleId="a8">
    <w:name w:val="annotation reference"/>
    <w:basedOn w:val="a0"/>
    <w:uiPriority w:val="99"/>
    <w:semiHidden/>
    <w:unhideWhenUsed/>
    <w:rsid w:val="00614B3C"/>
  </w:style>
  <w:style w:type="paragraph" w:styleId="a9">
    <w:name w:val="Balloon Text"/>
    <w:basedOn w:val="a"/>
    <w:link w:val="aa"/>
    <w:uiPriority w:val="99"/>
    <w:semiHidden/>
    <w:unhideWhenUsed/>
    <w:rsid w:val="00614B3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4B3C"/>
    <w:rPr>
      <w:rFonts w:ascii="Segoe UI" w:hAnsi="Segoe UI" w:cs="Segoe UI"/>
      <w:sz w:val="18"/>
      <w:szCs w:val="18"/>
      <w:lang w:val="en-US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505BE0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505BE0"/>
    <w:rPr>
      <w:rFonts w:ascii="Calibri" w:hAnsi="Calibri" w:cs="Calibri"/>
      <w:b/>
      <w:bCs/>
      <w:sz w:val="20"/>
      <w:szCs w:val="20"/>
      <w:lang w:val="en-US"/>
    </w:rPr>
  </w:style>
  <w:style w:type="paragraph" w:styleId="ad">
    <w:name w:val="List Paragraph"/>
    <w:basedOn w:val="a"/>
    <w:uiPriority w:val="34"/>
    <w:qFormat/>
    <w:rsid w:val="00460046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6C2D8D"/>
    <w:rPr>
      <w:color w:val="954F72" w:themeColor="followedHyperlink"/>
      <w:u w:val="single"/>
    </w:rPr>
  </w:style>
  <w:style w:type="paragraph" w:styleId="af">
    <w:name w:val="Normal (Web)"/>
    <w:basedOn w:val="a"/>
    <w:uiPriority w:val="99"/>
    <w:semiHidden/>
    <w:unhideWhenUsed/>
    <w:rsid w:val="000B7E28"/>
    <w:rPr>
      <w:rFonts w:ascii="Times New Roman" w:hAnsi="Times New Roman" w:cs="Times New Roman"/>
      <w:sz w:val="24"/>
      <w:szCs w:val="24"/>
    </w:rPr>
  </w:style>
  <w:style w:type="paragraph" w:customStyle="1" w:styleId="Verdanatxt">
    <w:name w:val="Verdana_txt"/>
    <w:basedOn w:val="a"/>
    <w:link w:val="Verdanatxt0"/>
    <w:qFormat/>
    <w:rsid w:val="00592E96"/>
    <w:pPr>
      <w:widowControl w:val="0"/>
      <w:spacing w:before="240"/>
      <w:jc w:val="both"/>
    </w:pPr>
    <w:rPr>
      <w:rFonts w:ascii="Verdana" w:eastAsia="Times New Roman" w:hAnsi="Verdana" w:cs="Times New Roman"/>
      <w:snapToGrid w:val="0"/>
      <w:szCs w:val="20"/>
      <w:lang w:val="ru-RU" w:eastAsia="ru-RU"/>
    </w:rPr>
  </w:style>
  <w:style w:type="character" w:customStyle="1" w:styleId="Verdanatxt0">
    <w:name w:val="Verdana_txt Знак"/>
    <w:link w:val="Verdanatxt"/>
    <w:rsid w:val="00592E96"/>
    <w:rPr>
      <w:rFonts w:ascii="Verdana" w:eastAsia="Times New Roman" w:hAnsi="Verdana" w:cs="Times New Roman"/>
      <w:snapToGrid w:val="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04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abr.org/analytics/ceg-quarterly-review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841F5-DBFC-4CC0-9073-B1E4987E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3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Наталья А.</dc:creator>
  <cp:lastModifiedBy>Шаманова Татьяна Александровна</cp:lastModifiedBy>
  <cp:revision>37</cp:revision>
  <cp:lastPrinted>2025-09-08T13:37:00Z</cp:lastPrinted>
  <dcterms:created xsi:type="dcterms:W3CDTF">2025-09-08T13:37:00Z</dcterms:created>
  <dcterms:modified xsi:type="dcterms:W3CDTF">2025-12-17T09:25:00Z</dcterms:modified>
</cp:coreProperties>
</file>